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0002048500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3" w:right="1640" w:hanging="3"/>
        <w:spacing w:after="0" w:line="254" w:lineRule="auto"/>
        <w:tabs>
          <w:tab w:leader="none" w:pos="26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3" w:right="100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Michael R. Mensinger</w:t>
      </w:r>
    </w:p>
    <w:p>
      <w:pPr>
        <w:spacing w:after="0" w:line="1" w:lineRule="exact"/>
        <w:rPr>
          <w:sz w:val="24"/>
          <w:szCs w:val="24"/>
          <w:color w:val="auto"/>
        </w:rPr>
      </w:pPr>
    </w:p>
    <w:p>
      <w:pPr>
        <w:sectPr>
          <w:pgSz w:w="11900" w:h="16838" w:orient="portrait"/>
          <w:cols w:equalWidth="0" w:num="2">
            <w:col w:w="7577" w:space="720"/>
            <w:col w:w="29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4378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55994.62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44561695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06/02/2026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02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0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06/01/2026 </w:t>
            </w:r>
            <w:r>
              <w:rPr>
                <w:rFonts w:ascii="Times New Roman" w:cs="Times New Roman" w:eastAsia="Times New Roman" w:hAnsi="Times New Roman"/>
                <w:sz w:val="28"/>
                <w:szCs w:val="28"/>
                <w:color w:val="auto"/>
                <w:vertAlign w:val="subscript"/>
              </w:rPr>
              <w:t>under registered</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4378</w:t>
            </w:r>
          </w:p>
        </w:tc>
        <w:tc>
          <w:tcPr>
            <w:tcW w:w="30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06/01/2026 services rendered</w:t>
            </w:r>
          </w:p>
        </w:tc>
        <w:tc>
          <w:tcPr>
            <w:tcW w:w="0" w:type="dxa"/>
            <w:vAlign w:val="bottom"/>
          </w:tcPr>
          <w:p>
            <w:pPr>
              <w:spacing w:after="0"/>
              <w:rPr>
                <w:sz w:val="1"/>
                <w:szCs w:val="1"/>
                <w:color w:val="auto"/>
              </w:rPr>
            </w:pPr>
          </w:p>
        </w:tc>
      </w:tr>
      <w:tr>
        <w:trPr>
          <w:trHeight w:val="243"/>
        </w:trPr>
        <w:tc>
          <w:tcPr>
            <w:tcW w:w="40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to Issuer</w:t>
            </w:r>
          </w:p>
        </w:tc>
        <w:tc>
          <w:tcPr>
            <w:tcW w:w="0" w:type="dxa"/>
            <w:vAlign w:val="bottom"/>
          </w:tcPr>
          <w:p>
            <w:pPr>
              <w:spacing w:after="0"/>
              <w:rPr>
                <w:sz w:val="1"/>
                <w:szCs w:val="1"/>
                <w:color w:val="auto"/>
              </w:rPr>
            </w:pPr>
          </w:p>
        </w:tc>
      </w:tr>
      <w:tr>
        <w:trPr>
          <w:trHeight w:val="66"/>
        </w:trPr>
        <w:tc>
          <w:tcPr>
            <w:tcW w:w="40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Mensinger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Beta Bionics,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03/02/2026 1064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13152.74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 Hughes</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700" w:val="left"/>
          <w:tab w:leader="none" w:pos="1160" w:val="left"/>
        </w:tabs>
        <w:rPr>
          <w:sz w:val="20"/>
          <w:szCs w:val="20"/>
          <w:color w:val="auto"/>
        </w:rPr>
      </w:pPr>
      <w:r>
        <w:rPr>
          <w:rFonts w:ascii="Times New Roman" w:cs="Times New Roman" w:eastAsia="Times New Roman" w:hAnsi="Times New Roman"/>
          <w:sz w:val="22"/>
          <w:szCs w:val="22"/>
          <w:color w:val="auto"/>
        </w:rPr>
        <w:t>Irvine</w:t>
        <w:tab/>
        <w:t>CA</w:t>
      </w:r>
      <w:r>
        <w:rPr>
          <w:sz w:val="20"/>
          <w:szCs w:val="20"/>
          <w:color w:val="auto"/>
        </w:rPr>
        <w:tab/>
      </w:r>
      <w:r>
        <w:rPr>
          <w:rFonts w:ascii="Times New Roman" w:cs="Times New Roman" w:eastAsia="Times New Roman" w:hAnsi="Times New Roman"/>
          <w:sz w:val="21"/>
          <w:szCs w:val="21"/>
          <w:color w:val="auto"/>
        </w:rPr>
        <w:t>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This is a sell-to-cover transaction for taxes owed related to recent vesting of stock unit awards granted by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601" w:lineRule="exact"/>
        <w:rPr>
          <w:sz w:val="20"/>
          <w:szCs w:val="20"/>
          <w:color w:val="auto"/>
        </w:rPr>
      </w:pPr>
    </w:p>
    <w:p>
      <w:pPr>
        <w:sectPr>
          <w:pgSz w:w="11900" w:h="16838" w:orient="portrait"/>
          <w:cols w:equalWidth="0" w:num="2">
            <w:col w:w="1340" w:space="20"/>
            <w:col w:w="988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Feider,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Stephen Feider, Kevin Meinert and Alison Kincade signing individually, the undersigned’s true and lawful attorneys-in fact and agents to:</w:t>
      </w:r>
    </w:p>
    <w:p>
      <w:pPr>
        <w:spacing w:after="0" w:line="158" w:lineRule="exact"/>
        <w:rPr>
          <w:sz w:val="20"/>
          <w:szCs w:val="20"/>
          <w:color w:val="auto"/>
        </w:rPr>
      </w:pPr>
    </w:p>
    <w:p>
      <w:pPr>
        <w:jc w:val="both"/>
        <w:ind w:left="660" w:firstLine="644"/>
        <w:spacing w:after="0" w:line="238" w:lineRule="auto"/>
        <w:tabs>
          <w:tab w:leader="none" w:pos="16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or beneficial owner of more than 10% of a registered class of securities of Beta Bionics,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Form 144 and a Form ID, Uniform Application for Access Codes to File on EDGAR;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3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execute such Forms 3, 4 or 5, Form 144, or Form ID (including any amendments thereto) and timely file such forms with the United States Securities and Exchange Commission and any stock exchange or similar authority; and</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or Form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21"/>
          <w:szCs w:val="21"/>
          <w:color w:val="auto"/>
        </w:rPr>
        <w:t>, the undersigned has caused this Power of Attorney to be executed as of December 27, 2024.</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i w:val="1"/>
          <w:iCs w:val="1"/>
          <w:u w:val="single" w:color="auto"/>
          <w:color w:val="auto"/>
        </w:rPr>
        <w:t>/s/ Mike Mensinger</w:t>
      </w:r>
      <w:r>
        <w:rPr>
          <w:rFonts w:ascii="Times New Roman" w:cs="Times New Roman" w:eastAsia="Times New Roman" w:hAnsi="Times New Roman"/>
          <w:sz w:val="22"/>
          <w:szCs w:val="22"/>
          <w:color w:val="auto"/>
        </w:rPr>
        <w:t>__________________</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Mike Mensinger</w:t>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2026-06-03T16:44:25Z</dcterms:created>
  <dcterms:modified xsi:type="dcterms:W3CDTF">2026-06-03T16:44:25Z</dcterms:modified>
</cp:coreProperties>
</file>