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8271d424b5.htm"/>
        <w:bookmarkStart w:id="1" w:name="ksd108271d424b5"/>
        <w:bookmarkEnd w:id="0"/>
        <w:bookmarkEnd w:id="1"/>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Filed Pursuant to Rule 424(b)(5)</w:t>
        <w:br/>
        <w:t xml:space="preserve">Registration No. 333-293702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19"/>
        </w:rPr>
      </w:pPr>
      <w:r>
        <w:rPr>
          <w:rFonts w:ascii="Arial Narrow" w:hAnsi="Arial Narrow"/>
          <w:b/>
          <w:color w:val="FF4338"/>
          <w:sz w:val="19"/>
        </w:rPr>
        <w:t xml:space="preserve">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state or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left"/>
        <w:rPr>
          <w:rFonts w:ascii="Times New Roman" w:hAnsi="Times New Roman"/>
          <w:b/>
          <w:color w:val="FF4338"/>
          <w:sz w:val="20"/>
        </w:rPr>
      </w:pPr>
      <w:r>
        <w:rPr>
          <w:rFonts w:ascii="Times New Roman" w:hAnsi="Times New Roman"/>
          <w:b/>
          <w:color w:val="FF4338"/>
          <w:sz w:val="20"/>
        </w:rPr>
        <w:t xml:space="preserve">Subject to completion, dated September 15, 2026 </w:t>
      </w:r>
    </w:p>
    <w:p>
      <w:pPr>
        <w:pStyle w:val="TextBody"/>
        <w:bidi w:val="0"/>
        <w:spacing w:before="0" w:after="0"/>
        <w:ind w:left="960" w:right="960" w:hanging="0"/>
        <w:jc w:val="left"/>
        <w:rPr>
          <w:rFonts w:ascii="Times New Roman" w:hAnsi="Times New Roman"/>
          <w:b/>
          <w:color w:val="FF4338"/>
          <w:sz w:val="20"/>
        </w:rPr>
      </w:pPr>
      <w:r>
        <w:rPr>
          <w:rFonts w:ascii="Times New Roman" w:hAnsi="Times New Roman"/>
          <w:b/>
          <w:color w:val="FF4338"/>
          <w:sz w:val="20"/>
        </w:rPr>
        <w:t xml:space="preserve">Preliminary prospectus supplement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(To prospectus dated February 24, 2026) </w:t>
      </w:r>
    </w:p>
    <w:p>
      <w:pPr>
        <w:pStyle w:val="TextBody"/>
        <w:bidi w:val="0"/>
        <w:spacing w:before="240" w:after="0"/>
        <w:ind w:left="960" w:right="960" w:hanging="0"/>
        <w:jc w:val="left"/>
        <w:rPr>
          <w:rFonts w:ascii="Times New Roman" w:hAnsi="Times New Roman"/>
          <w:b/>
          <w:sz w:val="36"/>
        </w:rPr>
      </w:pPr>
      <w:r>
        <w:rPr>
          <w:rFonts w:ascii="Times New Roman" w:hAnsi="Times New Roman"/>
          <w:b/>
          <w:sz w:val="36"/>
        </w:rPr>
        <w:t xml:space="preserve">$125,000,000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drawing>
          <wp:inline distT="0" distB="0" distL="0" distR="0">
            <wp:extent cx="16287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342900"/>
                    </a:xfrm>
                    <a:prstGeom prst="rect">
                      <a:avLst/>
                    </a:prstGeom>
                  </pic:spPr>
                </pic:pic>
              </a:graphicData>
            </a:graphic>
          </wp:inline>
        </w:drawing>
      </w:r>
      <w:r>
        <w:rPr/>
        <w:t xml:space="preserve"> </w:t>
      </w:r>
    </w:p>
    <w:p>
      <w:pPr>
        <w:pStyle w:val="TextBody"/>
        <w:bidi w:val="0"/>
        <w:spacing w:before="240" w:after="0"/>
        <w:ind w:left="960" w:right="960" w:hanging="0"/>
        <w:jc w:val="left"/>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$125,000,000 of shares of our common stock, $0.0001 par value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“BBNX.” On September 14, 2026, the last reported sale price of our common stock was $16.73 per share. The final public offering price will be determined through negotiation between us and the lead underwriters in the offering and the recent market price used throughout this prospectus supplement may not be indicative of the actual offering price.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5148"/>
        <w:gridCol w:w="502"/>
        <w:gridCol w:w="535"/>
        <w:gridCol w:w="229"/>
        <w:gridCol w:w="74"/>
        <w:gridCol w:w="503"/>
        <w:gridCol w:w="483"/>
        <w:gridCol w:w="207"/>
        <w:gridCol w:w="74"/>
      </w:tblGrid>
      <w:tr>
        <w:trPr/>
        <w:tc>
          <w:tcPr>
            <w:tcW w:w="5148"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5148"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7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74"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4" w:type="dxa"/>
            <w:tcBorders/>
            <w:vAlign w:val="bottom"/>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502"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w:t>
            </w:r>
          </w:p>
        </w:tc>
        <w:tc>
          <w:tcPr>
            <w:tcW w:w="22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w:t>
            </w:r>
          </w:p>
        </w:tc>
        <w:tc>
          <w:tcPr>
            <w:tcW w:w="20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514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502"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w:t>
            </w:r>
          </w:p>
        </w:tc>
        <w:tc>
          <w:tcPr>
            <w:tcW w:w="22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w:t>
            </w:r>
          </w:p>
        </w:tc>
        <w:tc>
          <w:tcPr>
            <w:tcW w:w="207"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Beta Bionics, Inc.</w:t>
            </w:r>
          </w:p>
        </w:tc>
        <w:tc>
          <w:tcPr>
            <w:tcW w:w="502"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left"/>
              <w:rPr/>
            </w:pPr>
            <w:r>
              <w:rPr/>
              <w:t>$</w:t>
            </w:r>
          </w:p>
        </w:tc>
        <w:tc>
          <w:tcPr>
            <w:tcW w:w="229"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w:t>
            </w:r>
          </w:p>
        </w:tc>
        <w:tc>
          <w:tcPr>
            <w:tcW w:w="207"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entitled “Underwriting” for additional information regarding compensation payable to the underwriters.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granted the underwriters a 30-day option to purchase up to an additional $18,750,000 of shares of our common stock at the price to the public less underwriting discounts and commissions. </w:t>
      </w:r>
    </w:p>
    <w:p>
      <w:pPr>
        <w:pStyle w:val="TextBody"/>
        <w:bidi w:val="0"/>
        <w:spacing w:before="240" w:after="0"/>
        <w:ind w:left="960" w:right="960" w:hanging="0"/>
        <w:jc w:val="left"/>
        <w:rPr/>
      </w:pPr>
      <w:r>
        <w:rPr>
          <w:rFonts w:ascii="Times New Roman" w:hAnsi="Times New Roman"/>
          <w:b/>
          <w:sz w:val="24"/>
        </w:rPr>
        <w:t>Investing in our common stock involves a high degree of risk. See “</w:t>
      </w:r>
      <w:hyperlink w:anchor="supp108271_3">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in the documents incorporated by reference into this prospectus supplement and the accompanying prospectus before investing in our common stock.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underwriters expect to deliver the shares of our common stock to purchasers on or about September , 2026.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2041"/>
        <w:gridCol w:w="101"/>
        <w:gridCol w:w="1940"/>
        <w:gridCol w:w="102"/>
        <w:gridCol w:w="3470"/>
        <w:gridCol w:w="101"/>
        <w:gridCol w:w="2450"/>
      </w:tblGrid>
      <w:tr>
        <w:trPr/>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b/>
              </w:rPr>
            </w:pPr>
            <w:r>
              <w:rPr>
                <w:b/>
              </w:rPr>
              <w:t>Piper Sandler</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 </w:t>
            </w:r>
            <w:r>
              <w:rPr>
                <w:b/>
              </w:rPr>
              <w:t>Wells Fargo Securities</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b/>
              </w:rPr>
            </w:pPr>
            <w:r>
              <w:rPr>
                <w:b/>
              </w:rPr>
              <w:t>Leerink Partners</w:t>
            </w:r>
          </w:p>
        </w:tc>
      </w:tr>
    </w:tbl>
    <w:p>
      <w:pPr>
        <w:pStyle w:val="TextBody"/>
        <w:bidi w:val="0"/>
        <w:spacing w:before="240" w:after="0"/>
        <w:ind w:left="960" w:right="960" w:hanging="0"/>
        <w:jc w:val="center"/>
        <w:rPr/>
      </w:pPr>
      <w:r>
        <w:rPr/>
        <w:t>   </w:t>
      </w:r>
      <w:r>
        <w:rPr>
          <w:rFonts w:ascii="Times New Roman" w:hAnsi="Times New Roman"/>
          <w:b/>
          <w:sz w:val="20"/>
        </w:rPr>
        <w:t xml:space="preserve">,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26"/>
        <w:gridCol w:w="150"/>
        <w:gridCol w:w="529"/>
      </w:tblGrid>
      <w:tr>
        <w:trPr/>
        <w:tc>
          <w:tcPr>
            <w:tcW w:w="952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529" w:type="dxa"/>
            <w:tcBorders>
              <w:bottom w:val="single" w:sz="8" w:space="0" w:color="000000"/>
            </w:tcBorders>
            <w:tcMar>
              <w:bottom w:w="28" w:type="dxa"/>
            </w:tcMar>
            <w:vAlign w:val="bottom"/>
          </w:tcPr>
          <w:p>
            <w:pPr>
              <w:pStyle w:val="TableContents"/>
              <w:bidi w:val="0"/>
              <w:spacing w:before="0" w:after="283"/>
              <w:jc w:val="center"/>
              <w:rPr>
                <w:b/>
              </w:rPr>
            </w:pPr>
            <w:r>
              <w:rPr>
                <w:b/>
              </w:rPr>
              <w:t>Page</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1">
              <w:r>
                <w:rPr>
                  <w:rStyle w:val="InternetLink"/>
                  <w:rFonts w:ascii="Times New Roman" w:hAnsi="Times New Roman"/>
                  <w:sz w:val="20"/>
                </w:rPr>
                <w:t>About this prospectus supplement</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S-ii</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2">
              <w:r>
                <w:rPr>
                  <w:rStyle w:val="InternetLink"/>
                  <w:rFonts w:ascii="Times New Roman" w:hAnsi="Times New Roman"/>
                  <w:sz w:val="20"/>
                </w:rPr>
                <w:t>Prospectus supplement summary</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S-1</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3">
              <w:r>
                <w:rPr>
                  <w:rStyle w:val="InternetLink"/>
                  <w:rFonts w:ascii="Times New Roman" w:hAnsi="Times New Roman"/>
                  <w:sz w:val="20"/>
                </w:rPr>
                <w:t>Risk factors</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S-7</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4">
              <w:r>
                <w:rPr>
                  <w:rStyle w:val="InternetLink"/>
                  <w:rFonts w:ascii="Times New Roman" w:hAnsi="Times New Roman"/>
                  <w:sz w:val="20"/>
                </w:rPr>
                <w:t>Special note regarding forward-looking statements</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S-11</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5">
              <w:r>
                <w:rPr>
                  <w:rStyle w:val="InternetLink"/>
                  <w:rFonts w:ascii="Times New Roman" w:hAnsi="Times New Roman"/>
                  <w:sz w:val="20"/>
                </w:rPr>
                <w:t>Use of proceeds</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S-13</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6">
              <w:r>
                <w:rPr>
                  <w:rStyle w:val="InternetLink"/>
                  <w:rFonts w:ascii="Times New Roman" w:hAnsi="Times New Roman"/>
                  <w:sz w:val="20"/>
                </w:rPr>
                <w:t>Dilution</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S-14</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7">
              <w:r>
                <w:rPr>
                  <w:rStyle w:val="InternetLink"/>
                  <w:rFonts w:ascii="Times New Roman" w:hAnsi="Times New Roman"/>
                  <w:sz w:val="20"/>
                </w:rPr>
                <w:t>Material U.S. federal income tax consequences of our common stock for non-U.S. holders</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S-16</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8">
              <w:r>
                <w:rPr>
                  <w:rStyle w:val="InternetLink"/>
                  <w:rFonts w:ascii="Times New Roman" w:hAnsi="Times New Roman"/>
                  <w:sz w:val="20"/>
                </w:rPr>
                <w:t>Underwriting</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S-21</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9">
              <w:r>
                <w:rPr>
                  <w:rStyle w:val="InternetLink"/>
                  <w:rFonts w:ascii="Times New Roman" w:hAnsi="Times New Roman"/>
                  <w:sz w:val="20"/>
                </w:rPr>
                <w:t>Legal matters</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S-30</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10">
              <w:r>
                <w:rPr>
                  <w:rStyle w:val="InternetLink"/>
                  <w:rFonts w:ascii="Times New Roman" w:hAnsi="Times New Roman"/>
                  <w:sz w:val="20"/>
                </w:rPr>
                <w:t>Experts</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S-30</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11">
              <w:r>
                <w:rPr>
                  <w:rStyle w:val="InternetLink"/>
                  <w:rFonts w:ascii="Times New Roman" w:hAnsi="Times New Roman"/>
                  <w:sz w:val="20"/>
                </w:rPr>
                <w:t>Where you can find more information</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S-30</w:t>
            </w:r>
          </w:p>
        </w:tc>
      </w:tr>
      <w:tr>
        <w:trPr>
          <w:trHeight w:val="120" w:hRule="atLeast"/>
        </w:trPr>
        <w:tc>
          <w:tcPr>
            <w:tcW w:w="9526" w:type="dxa"/>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r>
      <w:tr>
        <w:trPr/>
        <w:tc>
          <w:tcPr>
            <w:tcW w:w="9526" w:type="dxa"/>
            <w:tcBorders/>
            <w:vAlign w:val="bottom"/>
          </w:tcPr>
          <w:p>
            <w:pPr>
              <w:pStyle w:val="TableContents"/>
              <w:bidi w:val="0"/>
              <w:spacing w:before="0" w:after="0"/>
              <w:jc w:val="left"/>
              <w:rPr/>
            </w:pPr>
            <w:hyperlink w:anchor="supp108271_12">
              <w:r>
                <w:rPr>
                  <w:rStyle w:val="InternetLink"/>
                  <w:rFonts w:ascii="Times New Roman" w:hAnsi="Times New Roman"/>
                  <w:sz w:val="20"/>
                </w:rPr>
                <w:t>Incorporation of certain information by reference</w:t>
              </w:r>
            </w:hyperlink>
          </w:p>
        </w:tc>
        <w:tc>
          <w:tcPr>
            <w:tcW w:w="15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center"/>
              <w:rPr/>
            </w:pPr>
            <w:r>
              <w:rPr/>
              <w:t>S-30</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0827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2">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9">
              <w:r>
                <w:rPr>
                  <w:rStyle w:val="InternetLink"/>
                  <w:rFonts w:ascii="Times New Roman" w:hAnsi="Times New Roman"/>
                  <w:sz w:val="20"/>
                </w:rPr>
                <w:t>LEGAL OWNERSHIP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08271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and the underwriters have not, authorized anyone to provide you with information different than that which is contained in or incorporated by reference in this prospectus supplement, the accompanying prospectus or in any free writing prospectus that we have authorized for use in connection with this offering. We and the underwriters are not making an offer to sell these securities in any jurisdiction where the offer or sale is not permitted. You should assume that the information appearing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 w:name="supp108271_1"/>
      <w:bookmarkEnd w:id="3"/>
      <w:r>
        <w:rPr>
          <w:rFonts w:ascii="Times New Roman" w:hAnsi="Times New Roman"/>
          <w:b/>
          <w:sz w:val="20"/>
        </w:rPr>
        <w:t xml:space="preserve">About this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February 24, 2026,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or the accompanying prospectus or any sale of our common stock.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as used in this prospectus supplement, the terms “Beta Bionics,” “the Company,” “we,” “us” and “our” refer to Beta Bionics, Inc.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bookmarkStart w:id="4" w:name="supp108271_2"/>
      <w:bookmarkEnd w:id="4"/>
      <w:r>
        <w:rPr>
          <w:rFonts w:ascii="Times New Roman" w:hAnsi="Times New Roman"/>
          <w:b/>
          <w:sz w:val="20"/>
          <w:bdr w:val="single" w:sz="8" w:space="1" w:color="000000"/>
        </w:rPr>
        <w:t xml:space="preserve">Prospectus supplement summary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supplement and the accompanying prospectus. This summary does not contain all the information you should consider before investing in our common stock. You should read and consider carefully the more detailed information in this prospectus supplement and the accompanying prospectus, including the factors described under the heading “Risk factors” in this prospectus supplement, and under similar headings in other documents that are incorporated by reference in this prospectus supplement and the accompanying prospectus,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medical device company engaged in the design, development, and commercialization of innovative solutions to improve the health and quality of life of insulin-requiring people with diabetes by utilizing advanced adaptive closed-loop algorithms to simplify and improve the treatment of their disease. Our product, the iLet Bionic Pancreas (iLet), was cleared by the U.S. Food and Drug Administration (FDA) for the treatment of Type 1 diabetes in adults and children six years and older and commercially launched in May 2023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simplify and alleviate the burden of managing diabetes with life-changing solutions. Our vision is to make diabetes easier, for everyone, every day. Our goal is to establish the iLet as the standard of care for insulin delivery.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Mint approval and commercial launch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14, 2026, we announced FDA clearance of Mint, our patch pump featuring a transformative reusable and disposable architecture that does not require recharging, integrates with industry-leading continuous glucose monitors (CGM) and enables smartphone control for iOS and Android users.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expect to initiate the full commercial launch of Mint in the United States in the first quarter of 2027, and anticipate manufacturing capacity to produce at least 1.5 million total disposable units in the full year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Mint is expected to launch exclusively through the pharmacy channel, with approximately 40% of insured U.S. lives expected to be able to purchase it using their pharmacy benefit. We anticipate coverage for Mint to increase to at least 50% of insured U.S. lives within the first year of full commercialization as we leverage our market access footprint.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Mint features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Transformative, two-piece reusable and disposable architecture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Smaller compared to the industry-leading patch pump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Seamless disposable patch change process with no phone re-pairing required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Firmware-over-the-air updates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Limits environmental waste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Three days of wear time, with an additional 12-hour grace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200-unit insulin reservoir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Never requires recharging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Waterproof with an IPX8 rating for up to 5 feet deep for 60 minutes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Comprehensive software and digital integration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Compatible with industry-leading CGMs: Dexcom G7, Dexcom G7 15 Day, and Abbott’s FreeStyle Libre 3 Plus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iOS and Android smartphone controlled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3D Intelligence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on September 14, 2026, we announced our submission of a 510(k) application to the FDA for 3D Intelligence, our anticipated next-generation insulin dosing algorithm. 3D Intelligence is designed with three algorithm experiences intended to enable a more customizable treatment approach tailored to each user’s unique insulin requirements: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 the algorithm currently available with iLet, with proven real-world experience across more than 40,000 users**.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Optimized – an enhanced experience that builds on the currently available algorithm and incorporates learnings from our real-world experience with iLet.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Conservative – an alternative experience designed to provide a more measured response when correcting high glucose levels.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regulatory clearance by the FDA, the 3D Intelligence insulin-dosing algorithm is expected to power both iLet 3D and Mint 3D, our investigational next-generation automated insulin delivery (AID) platforms. Commercialization of iLet 3D in the United States is expected by the end of 2026, and commercialization of Mint 3D in the United States is expected simultaneous with the full Mint launch in the first quarter of 2027, in each case, subject to regulatory clearance by the FDA.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Minor differences in adaptation compared to previous algorithm are not anticipated to have a significant impact on outcomes.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Fully-closed loop algorithm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developing a fully-closed loop algorithm and intend to initiate a pivotal trial studying the algorithm in adults with type 1 and type 2 diabetes in the coming quarters.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iLet real-world data highlights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iLet is the first insulin delivery device cleared by the FDA to utilize adaptive closed-loop algorithms to autonomously determine every insulin dose without requiring a user to count carbohydrate intake. Based on real-world data from the first two years (5/19/2023–5/18/2025) of iLet usage (the Usage Period) among iLet users with baseline HbA1c data and who uploaded data to us (n=14,952), greater than 84% of iLet users met the American Diabetes Association (ADA) hypoglycemia goals of less than 4% time below 70mg/dL and less than 1% time below 54mg/dL. In addition, overall HbA1c of 8.9% to glucose management indicator (GMI) of 7.3%, or an average reduction of 1.5%, was observed, with a meaningful change regardless of baseline HbA1c. These real-world results are consistent with the investigator-initiated iLet Bionic Pancreas Pivotal Trial, in which an average reduction in HbA1c of 0.6%, from a baseline of 7.9% to 7.3% over 13 weeks was observed.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Improvements in baseline HbA1c have been observed just two days after initiating use of iLet, with an average baseline HbA1c of 8.9% to follow-up GMI on iLet of 7.4% observed among iLet users within the Usage Period who uploaded CGM data to us (n=30,077 sessions), 90% of whom had baseline HbA1c data available.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Similar improvements in GMI have been observed regardless of provider type with an average baseline HbA1c of 8.9% to follow-up GMI on iLet of 7.3% observed from both endocrinology (n=13,566) and primary care (n=1,036) providers of iLet for users within the Usage Period with provider type data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also observed similar improvements regardless of engagement levels with an average baseline HbA1c of 8.9% to follow-up GMI on iLet of 7.3% for low engagement users (≤ 4 average daily swipes to unlock iLet, n=302) as compared to an average baseline HbA1c of 8.0% to follow-up GMI on iLet of 7.2% for high engagement users (≥ 10 average daily swipes to unlock iLet, n=301) observed in iLet users within the Usage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analyzing data from iLet users from the 21-day period ending May 18, 2025 with baseline HbA1c data available, we estimate that approximately 16% (n=2,416) use iLet in a fully-closed loop manner (announced &lt;1 meal per day on average during the observation period), with an average of approximately 1 meal announced every three days. During the observation period, these fully-closed loop users achieved approximately 62% time in range on average and approximately 83% meet ADA hypoglycemia goals of less than 4% time below 70mg/dL and less than 1% time below 54mg/dL. Among these users, an average baseline HbA1c of 9.4% to follow-up GMI on iLet of 7.5% was observed. In addition, among a subgroup of these users (n=530) who did not announce a single meal during the observation period, an average baseline HbA1c of 9.4% to follow-up GMI on iLet of 7.4% was observed, with approximately 86% of this subgroup meeting ADA hypoglycemia goals.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Furthermore, based on post-market data (n=2,741, ≥ 4 yrs, Patient Years ~434), 8.1 users had ≥1 severe hypoglycemia event per 100 patient years. This compares to 9.6 users for Control-IQ (n=3,061, ≥ 6 yrs, Patient Years ~3,061)1, an AID, and reported severe hypoglycemia events per 100 patient years in non-AID systems of 121 (n=3,813, ≥ 18 yrs, Patient Years ~3,813)2 and 70 (n=3,827, ≥ 15 yrs, Patient Years ~220)3.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Graham et al. (2024) Real-World Use of Control-IQ Technology Is Associated with a Lower Rate of Severe Hypoglycemia and Diabetic Ketoacidosis Than Historical Data: Results of the Control-IQ Observational (CLIO) Prospective Study. Diabetes Technol Therapy; 26: 24-32.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Kristensen et al. (2012) Insulin analogues and severe hypoglycaemia in type 1 diabetes. Diabetes Res Clin Pract; 96:17-23.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Ostenson et al. (2014) Self-reported non-severe hypoglycaemic events in Europe. Diabetic Medicine; 31:92-101.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Legal proceedings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4, 2026, a purported stockholder of our company filed a securities class action against us and certain of our executive officers in the United States District Court for the Central District of California, captioned </w:t>
      </w:r>
      <w:r>
        <w:rPr>
          <w:rFonts w:ascii="Times New Roman" w:hAnsi="Times New Roman"/>
          <w:i/>
          <w:sz w:val="20"/>
          <w:bdr w:val="single" w:sz="8" w:space="1" w:color="000000"/>
        </w:rPr>
        <w:t>Holtzman vs. Beta Bionics, Inc. et al.</w:t>
      </w:r>
      <w:r>
        <w:rPr>
          <w:rFonts w:ascii="Times New Roman" w:hAnsi="Times New Roman"/>
          <w:sz w:val="20"/>
          <w:bdr w:val="single" w:sz="8" w:space="1" w:color="000000"/>
        </w:rPr>
        <w:t xml:space="preserve">, Case No. 2:26-cv-09999. The complaint alleges that defendants violated Sections 10(b) and 20(a) of the Securities Exchange Act of 1934, and SEC Rule 10b-5 promulgated thereunder, by making material misstatements or omissions concerning the safety, efficacy, and commercial success of iLet. The complaint seeks, on behalf of the putative class, unspecified damages, pre- and post-judgment interest, attorneys’ fees, expert fees and costs, as well as class certification and such other relief as the court may deem just and proper. We intend to vigorously defend against the claims in this action. Any potential loss arising from this claim is not currently probable or estimable.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Commonwealth of Massachusetts in October 2015. In August 2024, we reincorporated under the laws of the State of Delaware. Our principal executive offices are located at 11 Hughes, Irvine, California 92618, and our telephone number is (949) 427-7785. Our website is www.betabionics.com. The information contained in, or that can be accessed through, our website is not part of, and is not incorporated by reference into, this prospectus and should not be considered part of this prospectus supplement. We have included our website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and smaller reporting company status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no longer a “smaller reporting company” as defined by Rule 12b-2 of the Exchange Act because our annual revenue exceeded $100.0 million during the most recently completed fiscal year. However, we may continue to take advantage of certain of the scaled disclosures available to smaller reporting companies through the end of the year ended December 31, 2026 and until our Form 10-Q for the quarter ended March 31, 2027. If we are a smaller reporting company or are otherwise eligible to take advantage of the scaled disclosure available to smaller reporting companies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unaudited condensed financial statements in our Quarterly Report on Form 10-Q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58"/>
        <w:gridCol w:w="120"/>
        <w:gridCol w:w="6127"/>
      </w:tblGrid>
      <w:tr>
        <w:trPr/>
        <w:tc>
          <w:tcPr>
            <w:tcW w:w="39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27" w:type="dxa"/>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Common stock offered by us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center"/>
              <w:rPr/>
            </w:pPr>
            <w:r>
              <w:rPr/>
              <w:t>shares.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Option to purchase additional shares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We have granted the underwriters an option for a period of 30 days from the date of this prospectus supplement to purchase up to      additional shares.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Common stock to be outstanding immediately after this offering</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 xml:space="preserve">     </w:t>
            </w:r>
            <w:r>
              <w:rPr/>
              <w:t>shares (or      shares if the underwriters exercise in full their option to purchase additional shares).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0"/>
              <w:jc w:val="left"/>
              <w:rPr>
                <w:rFonts w:ascii="Times New Roman" w:hAnsi="Times New Roman"/>
                <w:sz w:val="20"/>
              </w:rPr>
            </w:pPr>
            <w:r>
              <w:rPr>
                <w:rFonts w:ascii="Times New Roman" w:hAnsi="Times New Roman"/>
                <w:sz w:val="20"/>
              </w:rPr>
              <w:t>We estimate that the net proceeds to us from this offering, after deducting the underwriting discounts and commissions and estimated offering expenses payable by us, will be $      million (or $      million if the underwriters exercise in full their option to purchase additional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intend to use the net proceeds from this offering for general corporate purposes, which may include costs associated with the commercialization of Mint, including expansion of our manufacturing facilities, research and development and clinical development, investment in product enhancements, potential strategic opportunities and working capital and operating expenses. See “Use of proceeds.”</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Risk factors</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Investing in our common stock involves a high degree of risk. See “Risk factors” sections of this prospectus supplement and the documents incorporated by reference herein for a discussion of factors you should consider carefully before deciding to invest in our common stock.</w:t>
            </w:r>
          </w:p>
        </w:tc>
      </w:tr>
      <w:tr>
        <w:trPr>
          <w:trHeight w:val="12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283"/>
              <w:jc w:val="left"/>
              <w:rPr/>
            </w:pPr>
            <w:r>
              <w:rPr/>
              <w:t>Nasdaq Global Market symbol</w:t>
            </w:r>
          </w:p>
        </w:tc>
        <w:tc>
          <w:tcPr>
            <w:tcW w:w="120" w:type="dxa"/>
            <w:tcBorders/>
            <w:vAlign w:val="bottom"/>
          </w:tcPr>
          <w:p>
            <w:pPr>
              <w:pStyle w:val="TableContents"/>
              <w:bidi w:val="0"/>
              <w:spacing w:before="0" w:after="283"/>
              <w:jc w:val="left"/>
              <w:rPr/>
            </w:pPr>
            <w:r>
              <w:rPr/>
              <w:t>  </w:t>
            </w:r>
          </w:p>
        </w:tc>
        <w:tc>
          <w:tcPr>
            <w:tcW w:w="6127" w:type="dxa"/>
            <w:tcBorders/>
          </w:tcPr>
          <w:p>
            <w:pPr>
              <w:pStyle w:val="TableContents"/>
              <w:bidi w:val="0"/>
              <w:spacing w:before="0" w:after="283"/>
              <w:jc w:val="left"/>
              <w:rPr/>
            </w:pPr>
            <w:r>
              <w:rPr/>
              <w:t>“</w:t>
            </w:r>
            <w:r>
              <w:rPr/>
              <w:t>BBNX.”</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to be outstanding immediately after this offering is based on 44,981,606 shares of our common stock outstanding as of June 30, 2026 and excludes as of that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6,913,527 shares of our common stock issuable upon the exercise of outstanding stock options, at a weighted-average exercise price of $10.23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2,424,161 shares of our common stock issuable upon vesting and settlement of restricted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9,365,787 shares of common stock authorized for future issuance under our 2025 Equity Incentive Plan (2025 Plan), as well as any future annual automatic increases in the number of shares of our common stock authorized for issuance under the 2025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761,403 shares of our common stock reserved for issuance under our 2025 Employee Stock Purchase Plan (ESPP), as well as any future annual automatic increases in the number of shares of our common stock authorized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supplement assumes no exercise of the outstanding options or settlement of the outstanding restricted stock units described above and no exercise by the underwriters of their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5" w:name="supp108271_3"/>
      <w:bookmarkEnd w:id="5"/>
      <w:r>
        <w:rPr>
          <w:rFonts w:ascii="Times New Roman" w:hAnsi="Times New Roman"/>
          <w:b/>
          <w:sz w:val="20"/>
        </w:rPr>
        <w:t xml:space="preserve">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Investing in our common stock involves a high degree of risk. Before deciding whether to invest in our common stock, you should consider carefully the risks and uncertainties described below and discussed in our most recent Annual Report on Form 10-K and Quarterly Reports on Form 10-Q, as well as any amendments thereto reflected in subsequent filings with the SEC, which are incorporated by reference into this prospectus supplement and the accompanying prospectus, together with other information contained in this prospectus supplement, the accompanying prospectus, the documents incorporated by reference herein and therein,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cashflow could be seriously harmed. This could cause the trading price of our common stock to decline, resulting in a loss of all or part of your investment. Additional risks not presently known to us or that we currently believe are immaterial may also significantly impair our business operations. Please also carefully read the section below entitled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as to the use of the net proceeds from this offering, and we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we receive from this offering, including for any of the purposes described in the section of this prospectus supplement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common stock. Our failure to apply these funds effectively could have a material adverse effect on our business or financial results and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the common stock sold in this offering, you will experience immediate and substantial dilution in your investment. You will experience further dilution if we issue additional equity securities in the future. Sales of a substantial number of shares of our common stock by our existing stockholders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Since the price per share of our common stock being offered is substantially higher than the net tangible book value per share of our common stock, you will suffer substantial dilution with respect to the net tangible book value of the common stock you purchase in this offering. Based on the public offering price of $     per share, and our net tangible book value as of June 30, 2026, if you purchase shares of common stock in this offering, you will suffer immediate and substantial dilution of $     per share with respect to the net tangible book value of the common stock. See “Dilution” for a more detailed discussion of the dilution you will incur if you purchase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have a significant number of stock options and restricted stock units outstanding. To the extent that outstanding stock options have been or may be exercised or restricted stock units have been or may be settled, or other shares are issued, investors purchasing our common stock in this offering may experience further dilution.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sales of a substantial number of shares of our outstanding common stock in the public market could occur at any time. Sales by our stockholders of a substantial number of shares, or the expectation that such sales may occur, could significantly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For example, in September 2026, a purported stockholder of our company filed a securities class action against us and certain of our executive officers in the United States District Court for the Central District of California, captioned </w:t>
      </w:r>
      <w:r>
        <w:rPr>
          <w:rFonts w:ascii="Times New Roman" w:hAnsi="Times New Roman"/>
          <w:i/>
          <w:sz w:val="20"/>
        </w:rPr>
        <w:t>Holtzman v. Beta Bionics, Inc. et al.</w:t>
      </w:r>
      <w:r>
        <w:rPr>
          <w:rFonts w:ascii="Times New Roman" w:hAnsi="Times New Roman"/>
          <w:sz w:val="20"/>
        </w:rPr>
        <w:t xml:space="preserve">, Case No. 2:26-cv-09999, alleging violations of certain federal securities laws related to certain statements made with respect to the safety, efficacy and commercial success of iLet. We intend to vigorously defend ourselves in this matter. If we are not successful in defense of these claims or any other claims we may face in the future, we may have to make significant payments to, or other settlements with, our stockholders and their attorneys. Even if such claims are not successful, this litigation has resulted in additional costs to us and this litigation and any other claims we may face in the future could result in further substantial costs and diversion of our management’s attention and resources in the future, which could have a material adverse effect on our business, operating results or financial condition.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the success of our iLet and Mint for the treatment of T1D, which are cleared by the FDA for commercial sale in the United States for the treatment of T1D. If we are unable to obtain and maintain regulatory clearance or approval for planned modifications to the iLet or Mint or for new indications, or for any current or future development-stage products, such as 3D Intelligence, iLet 3D and Mint 3D, or if we are unsuccessful in our efforts to continue to commercialize our cleared products,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one commercialized device, the iLet, which is an automated insulin dosing system cleared for the treatment of T1D in adults and children six years of age and older. Our business primarily depends on the successful commercialization of the iLet. In September 2026, we announced FDA clearance of Mint, our patch pump featuring a transformative reusable and disposable architecture, for the treatment of T1D in adults and children six years of age and older, and our expected initiation of full commercialization of Mint in the United States in the first quarter of 2027. We currently have no other products cleared for sale and may never be able to develop other marketable products. Additionally, in September 2026, we announced our submission of a 510(k) application to the FDA for 3D Intelligence, our anticipated next-generation insulin dosing algorithm and, subject to and following regulatory clearance by the FDA, our expectation for 3D Intelligence to power both iLet 3D and Mint 3D, our investigational next-generation automated insulin delivery platforms. Our iLet will require additional clinical development, testing and marketing authorization or regulatory clearance before we are permitted to commercialize it in a bihormonal system for the treatment of T1D or for any future indications we may pursue. Further, as we develop a bihormonal system of the iLet, which is designed to use both insulin and glucagon for the treatment of T1D, we will separately need to develop and obtain approval for our glucagon product candidate as a drug via an NDA submission in order to successfully commercialize our iLet in a bihormonal system. We expect that the bihormonal system will require completion of clinical trials and submission of a 510(k) for both the infusion pump and algorithm. In addition, we expect that the single hormone and bihormonal algorithms will require separate studies to be performed in T1D and T2D populations in order to seek clearance in these patient populations. Our iLet and Mint will also require additional marketing authorization or regulatory clearance before we are permitted to commercialize them with 3D Intelligence as iLet 3D and Mint 3D, respectively. However, there can be no assurance that the FDA will clear the 3D Intelligence or any other application on the anticipated timeline, or at all, that we will ultimately be able to market and commercialize 3D Intelligence, iLet 3D or Mint 3D, or that we will be able to scale our manufacturing processes sufficiently to meet anticipated demand at launch. The future regulatory and commercial success of 3D Intelligence, iLet and Mint, including versions powered by 3D Intelligence, and any other product candidate is subject to a number of risks, including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studies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enrollment in, and completion of, planned and future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clinical trials and regulatory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patient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data from our clinical program that supports an acceptable risk-benefit profile in the intended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required by the FDA to conduct additional clinical trials or to modify the design of current or planned trials to support any future application seeking marketing authorization or clearance of the iLet in a bihormonal system for the treatment of T1D or for other indications we may pursue, or seeking initial marketing authorization or clearance for any of our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and maintenance of marketing authorizations or clearances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trade secret protection and regulatory exclusivity, including for our iLet;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arrangements with third-party manufacturers and ensuring such third-party manufacturers supply sufficient quantities of components of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up our manufacturing capabilities, for both commercial and clinical supplies of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collaborations to further the development of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sales, marketing and distribution capabilities as we continue our commercialization efforts,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launching and driving commercial sales of our existing products and any other product candidate, if authorized for marketing or cleared;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products by people with diabetes,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following marketing authorization or clearance, including in respect of our post-market surveillance order issued by the FDA for our iLet;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and responding to voluntary or mandatory recalls, including our four open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regulatory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treatment options and the availability, perceived advantages, relative cost, relative safety and relative effectiveness of alternative and competing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competing technologies and other adverse market developments, and our need to enhance existing products and/or develop new products to maintain market share in response to such competing technologies or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healthcare coverage and adequate reimbursement from third-party payors;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build and maintain an organization of people who can successfully develop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risks are beyond our control, including the risks related to clinical development, the regulatory submission, oversight and review processes, potential threats to our intellectual property rights and the manufacturing, marketing and sales efforts of any future collaborator. If we are not successful in commercializing our iLet or Mint, or in obtaining marketing authorization or clearance for the iLet in its bihormonal system for the treatment of T1D or for the iLet or Mint in other indications, such as T2D, the investigational glucagon product, or any other product candidate, or if we experience delays as a result of any of these risks or otherwise, our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though we have received clearance for our iLet for insulin-only delivery for the treatment of T1D, any other configuration for the treatment of T1D such as a bihormonal system using both insulin and glucagon or other indications we may pursue for which we receive marketing authorization or clearance may be subject to limitations on the patient populations for which we may market the product. Even if we are able to obtain the requisite financing to continue to fund our development programs, we cannot assure you that we will successfully develop, obtain marketing authorization or clearance for, and commercialize our iLet in its bihormonal system for the treatment of T1D or for any future indication we may pursue, the investigational glucagon product, or any other development-stage products. If we are unable to continue commercializing the iLet or Mint for T1D, or if we are unable to develop, or obtain marketing authorization or clearance for, or, if authorized for marketing or cleared, successfully commercialize the iLet or Mint for the treatment of any future indications, we may not be able to generate sufficient revenue to continue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 w:name="supp108271_4"/>
      <w:bookmarkEnd w:id="6"/>
      <w:r>
        <w:rPr>
          <w:rFonts w:ascii="Times New Roman" w:hAnsi="Times New Roman"/>
          <w:b/>
          <w:sz w:val="20"/>
        </w:rPr>
        <w:t xml:space="preserve">Special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prospectus supplement, the accompanying prospectus and the documents incorporated by reference herein that are not strictly historical in nature are forward-looking statements within the meaning of Section 27A of the Securities Act of 1933, as amended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potential clearance by the FDA, including of 3D Intelligence, and the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implication and potential benefits of the FDA’s clearance of Mint;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certainty of full commercial launch of Mint, iLet 3D and Mint 3D in the United States and related updates;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manufacturing timeline and capacity of production of Mint at commercial launch and during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implications and potential benefits of 3D Intelligence, iLet 3D and Mint 3D for people with diabetes;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coverage for Mint at commercial launch and within the first year of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effectiveness, and safety of the iLet, Mint, 3D Intelligence algorithm and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with regard to the design, results and timing of our research and development efforts, clinical trials and real world use or experience, including the timing and availability of data from such trials and real world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forecast demand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future growth of our sales and marketing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about and our ability to implement our multi-channel coverage and reimbursement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forecasts regarding commercial demand for our products and our manufacturing expectations and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regulatory approval for our products or obtain regulatory approval for new products in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regulatory approval and commercialization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and hire senior management and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an emerging growth company under the Jumpstart Our Business Startups Act (JOBS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impact of geopolitical and macroeconomic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for our products, as well as our ability to operate our business without infringing the intellectual property rights of others;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our existing cash, cash equivalents and short-term and long-term investments, including expected use of net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“anticipates,” “believes,” “could,” “designed to,” “estimates,” “expects,” “goal,” “intends,” “may,” “plans,” “potential,” “predicts,” “projects,” “should,” “suggest,”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the accompanying prospectus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the accompanying prospectus and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the accompanying prospectus, any free writing prospectus we authorize for use in connection with this offering and the documents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supp108271_5"/>
      <w:bookmarkEnd w:id="7"/>
      <w:r>
        <w:rPr>
          <w:rFonts w:ascii="Times New Roman" w:hAnsi="Times New Roman"/>
          <w:b/>
          <w:sz w:val="20"/>
        </w:rPr>
        <w:t xml:space="preserve">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We estimate that we will receive net proceeds of approximately $     million from the sale of shares of our common stock offered by us in this offering, after deducting the underwriting discounts and commissions and estimated offering expenses payable by us. If the underwriters exercise their option to purchase additional shares of our common stock in full, we estimate that the net proceeds to us will be approximately $     million,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for general corporate purposes, which may include costs associated with the commercialization of Mint, including expansion of our manufacturing facilities, research and development and clinical development, investment in product enhancements, potential strategic opportunities and working capital and operating expenses. We may also use a portion of the net proceeds to in-license, invest in or acquire businesses, assets or technologies that we believe are complementary to our own, although we have no current plans, commitments or agreements with respect to any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these expenditures will depend on a number of factors, including factors described in the section titled “Risk factors” in this prospectus supplement and the accompanying prospectus, including the information incorporated by reference herein and therein, as well as the amount of cash used in our operations and any unforeseen cash needs. As of the date of this prospectus supplement, we cannot specify with certainty all of the particular uses of the net proceeds from this offering. Accordingly, we will retain broad discretion over the use of such proceeds. Pending the use of the net proceeds from this offering as described above, we intend to invest the net proceeds in short- and intermediate-term,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 w:name="supp108271_6"/>
      <w:bookmarkEnd w:id="8"/>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Investors purchasing shares of our common stock in this offering will experience immediate and substantial dilution in the pro forma net tangible book value of their shares of common stock. Dilution in net tangible book value represents the difference between the public offering price per share and the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net tangible book value of our common stock as of June 30, 2026 was $256.0 million, or $5.70 per share. Historical net tangible book value per share of our common stock represents our total tangible assets (total assets less intangible assets) less total liabilities, divided by the number of shares of common stock outstanding as of that date.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of      shares of our common stock at the public offering price of $     per share, and after deducting the underwriting discounts and commissions and estimated offering expenses payable by us, our as adjusted net tangible book value as of June 30, 2026 would have been approximately $     million, or $     per share of common stock. This represents an immediate increase in net tangible book value of $     per share to existing stockholders and an immediate dilution of $     per share to new investors purchasing our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to new investors: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45"/>
        <w:gridCol w:w="309"/>
        <w:gridCol w:w="150"/>
        <w:gridCol w:w="684"/>
        <w:gridCol w:w="60"/>
        <w:gridCol w:w="309"/>
        <w:gridCol w:w="150"/>
        <w:gridCol w:w="782"/>
        <w:gridCol w:w="66"/>
      </w:tblGrid>
      <w:tr>
        <w:trPr/>
        <w:tc>
          <w:tcPr>
            <w:tcW w:w="5245"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 </w:t>
            </w:r>
            <w:r>
              <w:rPr/>
              <w:t>5.70</w:t>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purchasing shares of our common stock in this offering</w:t>
            </w:r>
          </w:p>
        </w:tc>
        <w:tc>
          <w:tcPr>
            <w:tcW w:w="3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245"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45"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6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245"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6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in full to purchase an additional      shares of our common stock in this offering, the as adjusted net tangible book value per share after the offering would be $     per share, the increase in net tangible book value per share to existing stockholders would be $     per share and the dilution to new investors purchasing our common stock in this offering would be $     per share.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44,981,606 shares of our common stock outstanding as of June 30, 2026, and excludes as of that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6,913,527 shares of our common stock issuable upon the exercise of outstanding stock options, at a weighted-average exercise price of $10.23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2,424,161 shares of our common stock issuable upon vesting and settlement of restricted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9,365,787 shares of common stock authorized for future issuance under our 2025 Equity Incentive Plan (2025 Plan), as well as any future annual automatic increases in the number of shares of our common stock authorized for issuance under the 2025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761,403 shares of our common stock reserved for issuance under our 2025 Employee Stock Purchase Plan (ESPP), as well as any future annual automatic increases in the number of shares of our common stock authorized for issuance under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may choose to raise additional capital due to market conditions or strategic considerations, even if we believe we have sufficient funds for our current or future operating plans. To the extent that we raise additional capital by issuing equity securities or convertible debt, your ownership will be further diluted.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existing options are exercised or restricted stock units vest, new options or restricted stock units are issued under our share-based compensation plans or we issue additional shares of common stock under the ESPP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 w:name="supp108271_7"/>
      <w:bookmarkEnd w:id="9"/>
      <w:r>
        <w:rPr>
          <w:rFonts w:ascii="Times New Roman" w:hAnsi="Times New Roman"/>
          <w:b/>
          <w:sz w:val="20"/>
        </w:rPr>
        <w:t xml:space="preserve">Material U.S. federal income tax consequences of our common stock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of the ownership and disposition of our common stock acquired in this offering by non-U.S. holders (as defined below). This discussion is not a complete analysis of all potential U.S. federal income tax consequences that may be relevant to non-U.S. holders, does not address the potential application of the Medicare contribution tax on net investment income, any alternative minimum tax, or the special tax accounting rules under Section 451(b) of the Internal Revenue Code of 1986, as amended (the Code), and does not address any U.S. federal non-income tax consequences such as estate or gift tax consequences or any tax consequences arising under any state, local, or non-U.S. tax laws. This discussion is based on the Code and applicable Treasury Regulations promulgated thereunder, published rulings and administrative pronouncements of the Internal Revenue Service (the IRS), and judicial decisions,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common stock offered by this prospectus supplement and who hold our common stock as a “capital asset” within the meaning of Section 1221 of the Code (generally, property held for investment). This discussion does not address all of the U.S. federal income tax consequences that may be relevant to a particular non-U.S. holder in light of such holder’s particular circumstances. This discussion also does not consider any specific facts or circumstances that may be relevant to non-U.S.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S corporations or other pass- through entities,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controlled foreign corporations” or “foreign 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common stock through the exercise of employee stock options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our common stock that constitutes “qualified small business stock” under Section 1202 of the Code, or “Section 1244 stock” under Section 1244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stock in a transaction subject to the gain rollover provisions of the Code (including Section 1045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hedging or conversion transaction or straddle,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acquiring, owning and disposing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(as defined below) nor a partnership (including any entity or arrangement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(1) whose administration is subject to the primary supervision of a U.S. court and which has one or more United States persons (within the meaning of Code Section 7701(a)(30)) who have the authority to control all substantial decisions of the trust or (2) that has a valid election in effect under applicable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and we do not currently intend to pay any cash dividends on our capital stock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w:t>
      </w:r>
    </w:p>
    <w:p>
      <w:pPr>
        <w:pStyle w:val="TextBody"/>
        <w:bidi w:val="0"/>
        <w:spacing w:before="240" w:after="0"/>
        <w:jc w:val="left"/>
        <w:rPr>
          <w:rFonts w:ascii="Times New Roman" w:hAnsi="Times New Roman"/>
          <w:sz w:val="20"/>
        </w:rPr>
      </w:pPr>
      <w:r>
        <w:rPr>
          <w:rFonts w:ascii="Times New Roman" w:hAnsi="Times New Roman"/>
          <w:sz w:val="20"/>
        </w:rPr>
        <w:t xml:space="preserve">Amounts not treated as dividends for U.S. federal income tax purposes will constitute a return of capital and first be applied against and reduce a non-U.S. holder’s adjusted tax basis in our common stock, but not below zero. Any excess will be treated as capital gain and will be treated as described below under “—Gain on disposition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Sections 1471 through 1474 of the Code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as applicable (or other appropriate form, or applicable successor form), certifying such holder’s qualification for the reduced rate. This certification must be provided to us or the applicable withholding agent before the payment of dividends and may need to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the common stock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 Non-U.S. holders that do not provide the required certification on a timely basis, but that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the non-U.S. holder will generally be exempt from U.S. federal withholding tax. To claim the exemption, the non-U.S. holder must generally furnish a valid IRS Form W-8ECI (or applicable successor form) to the applicable withholding agent. This certification must be provided to us or the applicable withholding agent before the payment of dividends and may need to be updated periodically. </w:t>
      </w:r>
    </w:p>
    <w:p>
      <w:pPr>
        <w:pStyle w:val="TextBody"/>
        <w:bidi w:val="0"/>
        <w:spacing w:before="240" w:after="0"/>
        <w:jc w:val="left"/>
        <w:rPr>
          <w:rFonts w:ascii="Times New Roman" w:hAnsi="Times New Roman"/>
          <w:sz w:val="20"/>
        </w:rPr>
      </w:pPr>
      <w:r>
        <w:rPr>
          <w:rFonts w:ascii="Times New Roman" w:hAnsi="Times New Roman"/>
          <w:sz w:val="20"/>
        </w:rPr>
        <w:t xml:space="preserve">Although not subject to withholding, any such effectively connected dividends paid on our common stock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disposition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backup withholding and FATCA,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Determining whether we are a USRPHC depends on the fair market value of our USRPIs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as if such holder were a resident of the United States at the regular U.S. federal income tax rates applicable to United States residents.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(unless an applicable income tax treaty provides for different treatment) on gain realized upon the sale or other taxable disposition of our common stock, but such gain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distributions (including deemed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as applicable, or certain other requirements are met.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(including deemed dividends) paid on our common stock and, subject to the proposed Treasury Regulations described below, also applies to gross proceeds from sales or other dispositions of our common stock. The U.S. Treasury Department has released proposed Treasury Regulations which, if finalized in their present form, would eliminate the federal withholding tax of 30% applicable to the gross proceeds of a disposition of our common stock. The preamble to such proposed Treasury Regulations provides that taxpayers (including applicable withholding agents) may generally rely on the proposed Treasury Regulations until final regulations are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supp108271_8"/>
      <w:bookmarkEnd w:id="10"/>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the shares of common stock described in this prospectus through a number of underwriters. J.P. Morgan Securities LLC, Piper Sandler &amp; Co., Wells Fargo Securities, LLC, and Leerink Partners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9"/>
        <w:gridCol w:w="949"/>
        <w:gridCol w:w="940"/>
        <w:gridCol w:w="940"/>
        <w:gridCol w:w="61"/>
      </w:tblGrid>
      <w:tr>
        <w:trPr/>
        <w:tc>
          <w:tcPr>
            <w:tcW w:w="4049" w:type="dxa"/>
            <w:tcBorders/>
            <w:vAlign w:val="center"/>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0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949"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1" w:type="dxa"/>
            <w:tcBorders/>
            <w:vAlign w:val="bottom"/>
          </w:tcPr>
          <w:p>
            <w:pPr>
              <w:pStyle w:val="TableContents"/>
              <w:bidi w:val="0"/>
              <w:spacing w:before="0" w:after="283"/>
              <w:jc w:val="left"/>
              <w:rPr/>
            </w:pPr>
            <w:r>
              <w:rPr/>
              <w:t> </w:t>
            </w:r>
          </w:p>
        </w:tc>
      </w:tr>
      <w:tr>
        <w:trPr/>
        <w:tc>
          <w:tcPr>
            <w:tcW w:w="4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9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49"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9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9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49"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94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049"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4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94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049"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common shares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common shares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421"/>
        <w:gridCol w:w="566"/>
        <w:gridCol w:w="729"/>
        <w:gridCol w:w="312"/>
        <w:gridCol w:w="60"/>
        <w:gridCol w:w="566"/>
        <w:gridCol w:w="728"/>
        <w:gridCol w:w="312"/>
        <w:gridCol w:w="61"/>
      </w:tblGrid>
      <w:tr>
        <w:trPr/>
        <w:tc>
          <w:tcPr>
            <w:tcW w:w="4421"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421"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br/>
              <w:t>exercise</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option to</w:t>
              <w:br/>
              <w:t>purchase</w:t>
              <w:br/>
              <w:t>additional</w:t>
              <w:br/>
              <w:t>shares</w:t>
              <w:br/>
              <w:t>exercise</w:t>
            </w:r>
          </w:p>
        </w:tc>
        <w:tc>
          <w:tcPr>
            <w:tcW w:w="61" w:type="dxa"/>
            <w:tcBorders/>
            <w:vAlign w:val="bottom"/>
          </w:tcPr>
          <w:p>
            <w:pPr>
              <w:pStyle w:val="TableContents"/>
              <w:bidi w:val="0"/>
              <w:spacing w:before="0" w:after="283"/>
              <w:jc w:val="left"/>
              <w:rPr/>
            </w:pPr>
            <w:r>
              <w:rPr/>
              <w:t> </w:t>
            </w:r>
          </w:p>
        </w:tc>
      </w:tr>
      <w:tr>
        <w:trPr/>
        <w:tc>
          <w:tcPr>
            <w:tcW w:w="4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566"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left"/>
              <w:rPr/>
            </w:pPr>
            <w:r>
              <w:rPr/>
              <w:t>$</w:t>
            </w:r>
          </w:p>
        </w:tc>
        <w:tc>
          <w:tcPr>
            <w:tcW w:w="3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w:t>
            </w:r>
          </w:p>
        </w:tc>
        <w:tc>
          <w:tcPr>
            <w:tcW w:w="312"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442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6"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left"/>
              <w:rPr/>
            </w:pPr>
            <w:r>
              <w:rPr/>
              <w:t>$</w:t>
            </w:r>
          </w:p>
        </w:tc>
        <w:tc>
          <w:tcPr>
            <w:tcW w:w="3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w:t>
            </w:r>
          </w:p>
        </w:tc>
        <w:tc>
          <w:tcPr>
            <w:tcW w:w="312"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$    . We have also agreed to reimburse the underwriters for certain of their expenses incurred in connection with this offering in an amount up to $    .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(i) offer, pledge,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Piper Sandler &amp; Co. for a period of 60 days after the date of this prospectus, other than the shares of our common stock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our actions, as described above, do not apply to certain transactions, including (i) the issuance of shares of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such recipients enter into a lock-up agreement with the underwriters; (iii) the issuance of up to 5%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underwriters; or (iv)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certain of our significant stockholders (such persons, the “lock-up parties”) have entered into lock-up agreements with the underwriters prior to the commencement of this offering pursuant to which each lock-up party, with limited exceptions, for a period of 60 days after the date of this prospectus (such period, the “restricted period”), may not (and may not cause any of their direct or indirect affiliates to), without the prior written consent of J.P. Morgan Securities LLC and Piper Sandler &amp; Co.,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a bona fide gift or gifts, including, without limitation, to a charitable organization or educational institution, or for bona fide estate planning purposes, (ii) by will, testamentary document or intestate succession to the legal representative, heir, beneficiary or a member of the immediate family of the lock-up party, (iii) by operation of law, such as pursuant to a qualified domestic order, divorce settlement, divorce decree or separation agreement, (iv) pursuant to an order of a court or regulatory agency having jurisdiction over the lock-up party, (v) to any corporation, partnership, limited liability company or other entity of which the lock-up party or the immediate family of the lock-up party are the legal and beneficial owner of all of the outstanding equity securities or similar interests, (vi) to a nominee or custodian of a person or entity to whom a disposition or transfer would be permissible under clauses (i) through (v) above, (vii) to any immediate family member or any trust, partnership, limited liability company or other entity for the direct or indirect benefit of the lock-up party or one or more immediate family members of the lock-up party, or if the lock-up party is a trust, to a trustor or beneficiary of the trust or to the estate of a beneficiary of such trust, (viii)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(including, for the avoidance of doubt, where the lock-up party is a partnership, to its general partner or a successor partnership or fund, or any other funds managed by such partnership), or (B) as part of a distribution to limited partners, limited liability company members, managers, equityholders or stockholders of the lock-up party or holders of similar equity interests in the lock-up party, (ix) to us (A) upon the lock-up party’s death, disability or termination of employment or other service relationship with us, provided that such shares of common stock were issued to the lock-up party pursuant to an agreement or equity award granted pursuant to an employee benefit plan, option, warrant or other right disclosed in the prospectus supplement for this offering, or (B) pursuant to agreements under which we have the option to repurchase shares, (x) as part of a sale of our shares of common stock purchased by the lock-up party in this offering or on the open market following the offering, (xi) to us pursuant to the vesting, settlement or exercise of restricted stock units, restricted stock,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restricted stock, options, warrants or rights, provided that any such shares of common stock received upon such exercise, vesting or settlement shall be subject to the terms of the underwriting agreement, and provided further that any such restricted stock units, restricted stock, options, warrants or rights are held by the lock-up party pursuant to an agreement or equity award granted under a stock incentive plan or other equity award plan, each of which is disclosed in the prospectus for this offering, (xii) pursuant to a bona fide third party tender offer, merger, consolidation or other similar transaction, in one transaction or a series of related transactions, made to all holders of common stock that has been approved by our board of directors, which results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or group of persons becoming the beneficial owners (as defined in Rules 13d-3 and 13d-5 of the Exchange Act of 50% of our outstanding voting securities (or the surviving entity); provided that in the event that the tender offer, merger, consolidation or other such transaction is not completed, the lock-up securities shall remain subject to the provisions of the immediately preceding paragraph; or (xiii) pursuant to a 10b5-1 trading plan that is existing on the date of the lock-up agreement which has been provided to the underwriters or its legal counsel, provided that, to the extent a public announcement or filing under the Exchange Act, if any, is required by or on behalf of the lock-up party or the Company regarding such transfer during the restricted period, such announcement or filing shall include the date that the trading plan was entered into and a statement that such transfer is in accordance with an established 10b5-1 trading plan, and provided further that the existing 10b5-1 trading plan may not be amended during the restricted period to allow for an increase in the number of lock-up securities that may be sold pursuant to such existing 10b5-1 trading plan; and (b) the establishment by lock-up parties of trading plans under Rule 10b5-1 under the Exchange Act, provided that such plan does not provide for the transfer of lock-up securities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and Piper Sandler &amp; Co.,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“BBNX”.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this offering certain of the underwriters (and selling group members) may engage in passive market making transactions in our common stock on The Nasdaq Global Market prior to the pricing and completion of this offering. Passive market making consists of displaying bids on The Nasdaq Global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have been approved by the competent authority in that Relevant State or, where appropriate, approved in another Relevant State and notified to the competent authority in that Relevant State, all in accordance with the Prospectus Regulation, except that shares of common stock may be offered to the public in that Relevant State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qualified investor as defined under Article 2 of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provided that no such offer of shares shall require us or any sales agent to publish a prospectus pursuant to Article 3 of the Prospectus Regulation, supplement a prospectus pursuant to Article 3 of the Prospectus Regulation or publish an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in any Relevant State means the communication in any form and by any means of sufficient information on the terms of the offer and any shares of common stock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except that shares of common stock may be offered to the public in the United Kingdom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where the offer is conditional on the admission of shares of common stock to trading on the London Stock Exchange plc’s main market (in reliance on the exception in paragraph 6(a)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(b) to any qualified investor as defined under paragraph 15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(c) to fewer than 150 persons (other than qualified investors as defined under paragraph 15 of Schedule 1 of the POATR), subject to obtaining the prior consent of the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(d) 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 and the expressions “POATR” means the Public Offers and Admissions to Trading Regulations 2024.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no shares of common stock (1) have been or will be offered or sold and no shares of common stock have been or will be made the subject of an invitation for subscription or purchase, and no prospectus or any other document or material in connection with the offer or sale, or invitation for subscription or purchase, of the shares of common stock, has been or will be circulated or distributed,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of common stock. No shares of common stock have been offered or will be offered to the public in Switzerland, except that offers of shares of common stock may be made to the public in Switzerland at any time under the following exemptions under the Swiss Financial Services Act (“FinSA”): </w:t>
      </w:r>
    </w:p>
    <w:p>
      <w:pPr>
        <w:pStyle w:val="TextBody"/>
        <w:bidi w:val="0"/>
        <w:spacing w:before="120" w:after="0"/>
        <w:jc w:val="left"/>
        <w:rPr>
          <w:rFonts w:ascii="Times New Roman" w:hAnsi="Times New Roman"/>
          <w:sz w:val="20"/>
        </w:rPr>
      </w:pPr>
      <w:r>
        <w:rPr>
          <w:rFonts w:ascii="Times New Roman" w:hAnsi="Times New Roman"/>
          <w:sz w:val="20"/>
        </w:rPr>
        <w:t xml:space="preserve">(a) to any person which is a professional client as defined under the FinSA;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500 persons (other than professional clients as defined under the FinSA), subject to obtaining the prior consent of joint global coordinators/lead manager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Article 36 FinSA in connection with Article 44 of the Swiss Financial Services Ordinance, provided that no such offer of shares of common stock shall require us or any investment bank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of common stock constitutes a prospectus as such term is understood pursuant to the FinSA and neither this document nor any other offering or marketing material relating to the shares of common stock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sales agents are not required to comply with the disclosure requirements of NI 33-105 regarding sales agents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(the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Any offer in Australia of our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common stock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shares of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will not be circulated or distributed in the PRC and the shares of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an Exempt Offer in accordance with the Markets Law, DIFC Law No. 1 of 2012, as amended. This document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The offered by this document have not been approved or disapproved by the Israel Securities Authority (the “ISA”), nor have such securities been registered for sale in Israel. The securities may not be offered or sold, directly or indirectly, to the public in Israel, absent the publication of a prospectus that has been approved by the ISA. The ISA has not issued permits, approvals or licenses in connection with this offering or publishing this document, nor has it authenticated the details included herein, confirmed their reliability or completeness, or rendered an opinion as to the quality of the securities being offered.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(the “Israeli Securities Law”), and has not been filed with or approved by the ISA.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sales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supp108271_9"/>
      <w:bookmarkEnd w:id="11"/>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Cooley LLP will pass upon the validity of the shares of common stock being offered by this prospectus supplement. The underwriters are being represented by Latham &amp; Watkins LLP. </w:t>
      </w:r>
    </w:p>
    <w:p>
      <w:pPr>
        <w:pStyle w:val="TextBody"/>
        <w:bidi w:val="0"/>
        <w:spacing w:before="360" w:after="0"/>
        <w:jc w:val="left"/>
        <w:rPr>
          <w:rFonts w:ascii="Times New Roman" w:hAnsi="Times New Roman"/>
          <w:b/>
          <w:sz w:val="20"/>
        </w:rPr>
      </w:pPr>
      <w:bookmarkStart w:id="12" w:name="supp108271_10"/>
      <w:bookmarkEnd w:id="12"/>
      <w:r>
        <w:rPr>
          <w:rFonts w:ascii="Times New Roman" w:hAnsi="Times New Roman"/>
          <w:b/>
          <w:sz w:val="20"/>
        </w:rPr>
        <w:t xml:space="preserve">Experts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of Beta Bionics, Inc. as of December 31, 2025 and 2024 and for each of the two years in the period ended December 31, 2025 appearing in Beta Bionics, Inc.’s Annual Report on Form 10-K for the year ended December 31, 2025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 </w:t>
      </w:r>
    </w:p>
    <w:p>
      <w:pPr>
        <w:pStyle w:val="TextBody"/>
        <w:bidi w:val="0"/>
        <w:spacing w:before="360" w:after="0"/>
        <w:jc w:val="left"/>
        <w:rPr>
          <w:rFonts w:ascii="Times New Roman" w:hAnsi="Times New Roman"/>
          <w:b/>
          <w:sz w:val="20"/>
        </w:rPr>
      </w:pPr>
      <w:bookmarkStart w:id="13" w:name="supp108271_11"/>
      <w:bookmarkEnd w:id="13"/>
      <w:r>
        <w:rPr>
          <w:rFonts w:ascii="Times New Roman" w:hAnsi="Times New Roman"/>
          <w:b/>
          <w:sz w:val="20"/>
        </w:rPr>
        <w:t xml:space="preserve">Where you can find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S-3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pStyle w:val="TextBody"/>
        <w:bidi w:val="0"/>
        <w:spacing w:before="360" w:after="0"/>
        <w:jc w:val="left"/>
        <w:rPr>
          <w:rFonts w:ascii="Times New Roman" w:hAnsi="Times New Roman"/>
          <w:b/>
          <w:sz w:val="20"/>
        </w:rPr>
      </w:pPr>
      <w:bookmarkStart w:id="14" w:name="supp108271_12"/>
      <w:bookmarkEnd w:id="14"/>
      <w:r>
        <w:rPr>
          <w:rFonts w:ascii="Times New Roman" w:hAnsi="Times New Roman"/>
          <w:b/>
          <w:sz w:val="20"/>
        </w:rPr>
        <w:t xml:space="preserve">Incorporation of certain information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 allows us to “incorporate by reference” the information we file with it,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future filings made by us with the SEC under Sections 13(a), 13(c), 14 or 15(d) of the Exchange Act after the date of this prospectus supplement until the termination of the offering of the shares covered by this prospectus supplement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Annual Report on Form 10-K for the year ended December 31, 2025, filed with the SEC on </w:t>
            </w:r>
            <w:hyperlink r:id="rId3">
              <w:r>
                <w:rPr>
                  <w:rStyle w:val="InternetLink"/>
                  <w:rFonts w:ascii="Times New Roman" w:hAnsi="Times New Roman"/>
                  <w:sz w:val="20"/>
                </w:rPr>
                <w:t>February 24,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Schedule 14A, filed with the SEC on </w:t>
            </w:r>
            <w:hyperlink r:id="rId4">
              <w:r>
                <w:rPr>
                  <w:rStyle w:val="InternetLink"/>
                  <w:rFonts w:ascii="Times New Roman" w:hAnsi="Times New Roman"/>
                  <w:sz w:val="20"/>
                </w:rPr>
                <w:t>April 10,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2026 and June 30, 2026, filed with the SEC on </w:t>
            </w:r>
            <w:hyperlink r:id="rId5">
              <w:r>
                <w:rPr>
                  <w:rStyle w:val="InternetLink"/>
                  <w:rFonts w:ascii="Times New Roman" w:hAnsi="Times New Roman"/>
                  <w:sz w:val="20"/>
                </w:rPr>
                <w:t>April  21, 2026</w:t>
              </w:r>
            </w:hyperlink>
            <w:r>
              <w:rPr>
                <w:rFonts w:ascii="Times New Roman" w:hAnsi="Times New Roman"/>
                <w:sz w:val="20"/>
              </w:rPr>
              <w:t xml:space="preserve"> and </w:t>
            </w:r>
            <w:hyperlink r:id="rId6">
              <w:r>
                <w:rPr>
                  <w:rStyle w:val="InternetLink"/>
                  <w:rFonts w:ascii="Times New Roman" w:hAnsi="Times New Roman"/>
                  <w:sz w:val="20"/>
                </w:rPr>
                <w:t>July 29, 2026</w:t>
              </w:r>
            </w:hyperlink>
            <w:r>
              <w:rPr>
                <w:rFonts w:ascii="Times New Roman" w:hAnsi="Times New Roman"/>
                <w:sz w:val="20"/>
              </w:rPr>
              <w:t xml:space="preserv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30, 2026</w:t>
              </w:r>
            </w:hyperlink>
            <w:r>
              <w:rPr>
                <w:rFonts w:ascii="Times New Roman" w:hAnsi="Times New Roman"/>
                <w:sz w:val="20"/>
              </w:rPr>
              <w:t xml:space="preserve">, </w:t>
            </w:r>
            <w:hyperlink r:id="rId8">
              <w:r>
                <w:rPr>
                  <w:rStyle w:val="InternetLink"/>
                  <w:rFonts w:ascii="Times New Roman" w:hAnsi="Times New Roman"/>
                  <w:sz w:val="20"/>
                </w:rPr>
                <w:t>May  21, 2026</w:t>
              </w:r>
            </w:hyperlink>
            <w:r>
              <w:rPr>
                <w:rFonts w:ascii="Times New Roman" w:hAnsi="Times New Roman"/>
                <w:sz w:val="20"/>
              </w:rPr>
              <w:t xml:space="preserve">, </w:t>
            </w:r>
            <w:hyperlink r:id="rId9">
              <w:r>
                <w:rPr>
                  <w:rStyle w:val="InternetLink"/>
                  <w:rFonts w:ascii="Times New Roman" w:hAnsi="Times New Roman"/>
                  <w:sz w:val="20"/>
                </w:rPr>
                <w:t>May  22, 2026</w:t>
              </w:r>
            </w:hyperlink>
            <w:r>
              <w:rPr>
                <w:rFonts w:ascii="Times New Roman" w:hAnsi="Times New Roman"/>
                <w:sz w:val="20"/>
              </w:rPr>
              <w:t xml:space="preserve"> and </w:t>
            </w:r>
            <w:hyperlink r:id="rId10">
              <w:r>
                <w:rPr>
                  <w:rStyle w:val="InternetLink"/>
                  <w:rFonts w:ascii="Times New Roman" w:hAnsi="Times New Roman"/>
                  <w:sz w:val="20"/>
                </w:rPr>
                <w:t>September 15,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the description of our common stock, which is registered under Section  12 of the Exchange Act, described in</w:t>
            </w:r>
            <w:hyperlink r:id="rId11">
              <w:r>
                <w:rPr>
                  <w:rStyle w:val="InternetLink"/>
                  <w:rFonts w:ascii="Times New Roman" w:hAnsi="Times New Roman"/>
                  <w:sz w:val="20"/>
                </w:rPr>
                <w:t> Exhibit 4.3</w:t>
              </w:r>
            </w:hyperlink>
            <w:r>
              <w:rPr>
                <w:rFonts w:ascii="Times New Roman" w:hAnsi="Times New Roman"/>
                <w:sz w:val="20"/>
              </w:rPr>
              <w:t xml:space="preserve"> to our Annual Report on Form 10-K for the year ended December 31, 2024, filed with the SEC on March 25, 2025,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(other than exhibits, unless they are specifically incorporated by reference in the documents) at no cost, by contacting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Beta Bionics, Inc. </w:t>
      </w:r>
    </w:p>
    <w:p>
      <w:pPr>
        <w:pStyle w:val="TextBody"/>
        <w:bidi w:val="0"/>
        <w:spacing w:before="0" w:after="0"/>
        <w:jc w:val="center"/>
        <w:rPr>
          <w:rFonts w:ascii="Times New Roman" w:hAnsi="Times New Roman"/>
          <w:sz w:val="20"/>
        </w:rPr>
      </w:pPr>
      <w:r>
        <w:rPr>
          <w:rFonts w:ascii="Times New Roman" w:hAnsi="Times New Roman"/>
          <w:sz w:val="20"/>
        </w:rPr>
        <w:t xml:space="preserve">11 Hughes </w:t>
      </w:r>
    </w:p>
    <w:p>
      <w:pPr>
        <w:pStyle w:val="TextBody"/>
        <w:bidi w:val="0"/>
        <w:spacing w:before="0" w:after="0"/>
        <w:jc w:val="center"/>
        <w:rPr>
          <w:rFonts w:ascii="Times New Roman" w:hAnsi="Times New Roman"/>
          <w:sz w:val="20"/>
        </w:rPr>
      </w:pPr>
      <w:r>
        <w:rPr>
          <w:rFonts w:ascii="Times New Roman" w:hAnsi="Times New Roman"/>
          <w:sz w:val="20"/>
        </w:rPr>
        <w:t xml:space="preserve">Irvine, CA 92618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(949) 427-7785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42030" cy="647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3542030" cy="6470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offer and sell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a general description of the securities we may offer. Each time we offer securities pursuant to this prospectus, we will provide the specific terms of these offerings and the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or in the documents that we have incorporated by reference into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Global Market under the symbol “BBNX.” On February 23, 2026, the last reported sales price of our common stock was $13.67 per share. The applicable prospectus supplement will contain information, where applicable, as to any other listing on the Nasdaq Global Market or any securities market or other exchange of the securities, if any, covered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the applicable prospectus supplement.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You should review carefully the risks and uncertainties described under the heading “</w:t>
      </w:r>
      <w:hyperlink w:anchor="toc108271_3">
        <w:r>
          <w:rPr>
            <w:rStyle w:val="InternetLink"/>
            <w:rFonts w:ascii="Times New Roman" w:hAnsi="Times New Roman"/>
            <w:b/>
            <w:sz w:val="24"/>
          </w:rPr>
          <w:t>Risk Factors</w:t>
        </w:r>
      </w:hyperlink>
      <w:r>
        <w:rPr>
          <w:rFonts w:ascii="Times New Roman" w:hAnsi="Times New Roman"/>
          <w:b/>
          <w:sz w:val="24"/>
        </w:rPr>
        <w:t xml:space="preserve">” on page 4 of this prospectus as well as those contained in the applicable prospectus supplement and any related free writing prospectus,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9">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271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bookmarkStart w:id="16" w:name="toc108271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an automatic registration statement on Form S-3 that we filed with the Securities and Exchange Commission (“SEC”) utilizing a “shelf” registration process as a “well-known seasoned issuer,” as defined in Rule 405 under the Securities Act of 1933, as amended (the “Securities Act”). Under this shelf registration process, we may offer and sell from time to time in one or more offerings the securities described in this prospectus. No limit exists on the aggregate number or amount of securities we may sell pursuant to the registration statement of which this prospectus is a part.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securities under this prospectus, we will provide a prospectus supplement that will contain specific information about the terms of such securities and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or incorporated by reference into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7" w:name="toc108271_2"/>
      <w:bookmarkEnd w:id="1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the context requires otherwise, references in this prospectus to the “Company,” “Beta,” “we,” “us” and “our” refer to Beta Bionics, Inc.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commercial-stage medical device company engaged in the design, development, and commercialization of innovative solutions to improve the health and quality of life of insulin-requiring people with diabetes by utilizing advanced adaptive closed-loop algorithms to simplify and improve the treatment of their disease. Our product, the iLet Bionic Pancreas (“iLet”), was cleared by the U.S. Food and Drug Administration for the treatment of Type 1 diabetes in adults and children six years and older and commercially launched in May 2023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simplify and alleviate the burden of managing diabetes with life-changing solutions. Our vision is to make diabetes easier, for everyone, every day. Our goal is to establish the iLet as the standard of care for insulin delivery.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Commonwealth of Massachusetts in October 2015. In August 2024, we reincorporated under the laws of the State of Delaware. Our principal executive offices are located at 11 Hughes, Irvine, California 92618, and our telephone number is (949) 427-7785. Our website is www.betabionics.com. The information contained in, or that can be accessed through, our website is not part of, and is not incorporated by reference into, this prospectus and should not be considered part of this prospectus. We have included our website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and preferred stock, various series of debt securities and/or warrants to purchase any of such securities, either individually or in combination with other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through agents designated from time to time or to or through underwriters or dealers. We, and our underwriters, dealers or agents, reserve the right to accept or reject all or part of any proposed purchase of securities. If we do offer securities through underwriters, dealers or agents,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underwriters, dealers or agents;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net proceeds to 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Common Stock</w:t>
      </w:r>
      <w:r>
        <w:rPr>
          <w:rFonts w:ascii="Times New Roman" w:hAnsi="Times New Roman"/>
          <w:sz w:val="20"/>
          <w:bdr w:val="single" w:sz="8" w:space="1" w:color="000000"/>
        </w:rPr>
        <w:t xml:space="preserve">. 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Preferred Stock</w:t>
      </w:r>
      <w:r>
        <w:rPr>
          <w:rFonts w:ascii="Times New Roman" w:hAnsi="Times New Roman"/>
          <w:sz w:val="20"/>
          <w:bdr w:val="single" w:sz="8" w:space="1" w:color="000000"/>
        </w:rPr>
        <w:t xml:space="preserve">. We may issue shares of our preferred stock from time to time, in one or more series. Under our amended and restated certificate of incorporation, our board of directors has the authority, without further action by stockholders, to designate up to 10,000,000 shares of preferred stock in one or more series and to fix the designations, powers, preferences and rights of each such series and any qualifications, limitations or restrictions thereof,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fix the designations, powers, preferences, rights, qualifications, limitations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Debt Securities</w:t>
      </w:r>
      <w:r>
        <w:rPr>
          <w:rFonts w:ascii="Times New Roman" w:hAnsi="Times New Roman"/>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 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Warrants</w:t>
      </w:r>
      <w:r>
        <w:rPr>
          <w:rFonts w:ascii="Times New Roman" w:hAnsi="Times New Roman"/>
          <w:sz w:val="20"/>
          <w:bdr w:val="single" w:sz="8" w:space="1" w:color="000000"/>
        </w:rPr>
        <w:t xml:space="preserve">. 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08271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similar headings in our most recent Annual Report on Form 10-K and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cashflow could be seriously harmed. This could cause the trading price of our securities to decline, resulting in a loss of all or part of your investment. Additional risks not presently known to us or that we currently believe are immaterial may also significantly impair our business operations. Please also carefully read the section below entitled “Special Note Regarding Forward-Looking Statements.” </w:t>
      </w:r>
    </w:p>
    <w:p>
      <w:pPr>
        <w:pStyle w:val="TextBody"/>
        <w:bidi w:val="0"/>
        <w:spacing w:before="480" w:after="0"/>
        <w:jc w:val="center"/>
        <w:rPr>
          <w:rFonts w:ascii="Times New Roman" w:hAnsi="Times New Roman"/>
          <w:b/>
          <w:sz w:val="20"/>
        </w:rPr>
      </w:pPr>
      <w:bookmarkStart w:id="19" w:name="toc108271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into this prospectus and each prospectus supplement contain forward-looking statements within the meaning of Section 27A of the Securities Act and Section 21E of the Securities Exchange Act of 1934, as amended (the “Exchange Act”),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the use of forward-looking words such as “believes,” “expects,” “hopes,” “may,” “will,” “plan,” “goal,” “potential,” “intends,” “estimates,” “could,” “should,” “would,” “continue,” “seeks,” “projects,” or “anticipates,” or other similar words (including their use in the negative), or by discussions of future matters such as the development of new products, technology enhancements, possible collaborations and strategic transactions, financial trends and other statements that are not historical. These statements include but are not limited to statements under the captions “Business,” “Risk Factors” and “Management’s Discussion and Analysis of Financial Condition and Results of Operations” and in other sections incorporated by reference from our Annual Report on Form 10-K and Quarterly Reports on Form 10-Q, as applicable, as well as our other filings with the SEC. You should be aware that the occurrence of any of the events discussed under the heading “Risk Factors” in any applicable prospectus supplement and any documents incorporated by reference herein or therein could substantially harm our business, operating results and financial condition and that if any of these events occurs, it could adversely affect the value of an investment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08271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Except as described in any prospectus supplement or any related free writing prospectus that we may authorize to be provided to you, we currently intend to use the net proceeds from the sale of the securities offered hereby for general corporate purposes, which may include research and development and clinical development, investment in product enhancements, potential strategic opportunities and working capital and operating expenses.. As of the date of this prospectus, we cannot specify with certainty all of the particular uses of the proceeds from the sale of securities under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short- and intermediate-term, investment-grade, interest-bearing instruments. </w:t>
      </w:r>
    </w:p>
    <w:p>
      <w:pPr>
        <w:pStyle w:val="TextBody"/>
        <w:bidi w:val="0"/>
        <w:spacing w:before="480" w:after="0"/>
        <w:jc w:val="center"/>
        <w:rPr>
          <w:rFonts w:ascii="Times New Roman" w:hAnsi="Times New Roman"/>
          <w:b/>
          <w:sz w:val="20"/>
        </w:rPr>
      </w:pPr>
      <w:bookmarkStart w:id="21" w:name="toc108271_6"/>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our amended and restated certificate of incorporation authorizes us to issue 700,000,000 shares of common stock, par value $0.0001 per share, and 10,000,000 shares of preferred stock, par value $0.0001 per share. All of our authorized preferred stock is undesignated.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rights of our common and preferred stockholders, of some of the provisions of our amended and restated certificate of incorporation and amended and restated bylaws and of the Delaware General Corporation Law (the “DGCL”). This summary is not complete. For more detailed information, please see our amended and restated certificate of incorporation and amended and restated bylaws, which are filed as exhibits to the registration statement of which this prospectus is a part, as well as the relevant provisions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 Each holder of our common stock is entitled to one vote for each share on all matters to be voted upon by the common stockholders, and there will be no cumulative voting rights. </w:t>
      </w:r>
    </w:p>
    <w:p>
      <w:pPr>
        <w:pStyle w:val="TextBody"/>
        <w:bidi w:val="0"/>
        <w:spacing w:before="240" w:after="0"/>
        <w:jc w:val="left"/>
        <w:rPr>
          <w:rFonts w:ascii="Times New Roman" w:hAnsi="Times New Roman"/>
          <w:sz w:val="20"/>
        </w:rPr>
      </w:pPr>
      <w:r>
        <w:rPr>
          <w:rFonts w:ascii="Times New Roman" w:hAnsi="Times New Roman"/>
          <w:i/>
          <w:sz w:val="20"/>
        </w:rPr>
        <w:t>Dividends and Other Distributions.</w:t>
      </w:r>
      <w:r>
        <w:rPr>
          <w:rFonts w:ascii="Times New Roman" w:hAnsi="Times New Roman"/>
          <w:sz w:val="20"/>
        </w:rPr>
        <w:t xml:space="preserve"> Subject to any preferential rights of any outstanding preferred stock, holders of our common stock are entitled to receive ratably the dividends, if any, as may be declared from time to time by our board of directors out of funds legally available for that purpose. </w:t>
      </w:r>
    </w:p>
    <w:p>
      <w:pPr>
        <w:pStyle w:val="TextBody"/>
        <w:bidi w:val="0"/>
        <w:spacing w:before="240" w:after="0"/>
        <w:jc w:val="left"/>
        <w:rPr>
          <w:rFonts w:ascii="Times New Roman" w:hAnsi="Times New Roman"/>
          <w:sz w:val="20"/>
        </w:rPr>
      </w:pPr>
      <w:r>
        <w:rPr>
          <w:rFonts w:ascii="Times New Roman" w:hAnsi="Times New Roman"/>
          <w:i/>
          <w:sz w:val="20"/>
        </w:rPr>
        <w:t>Distribution on Dissolution.</w:t>
      </w:r>
      <w:r>
        <w:rPr>
          <w:rFonts w:ascii="Times New Roman" w:hAnsi="Times New Roman"/>
          <w:sz w:val="20"/>
        </w:rPr>
        <w:t xml:space="preserve"> If there is a liquidation, dissolution or winding up of our company, holders of our common stock are entitled to ratable distribution of our assets remaining after the payment in full of liabilities and any preferential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our common stock have no preemptive or conversion rights or other subscription rights, and there are no redemption or sinking fund provisions applicable to the common stock. All outstanding shares of our common stock are fully paid and non-assessable. 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our board of directors has the authority, without further action by stockholders, to designate up to 10,000,000 shares of preferred stock in one or more series to fix the number of shares of such series and to determine for each such series, such voting powers, full or limited, or no voting powers, and such designation, preferences, and relative, participating, optional,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and such qualifications, limitations, or restrictions thereof, any or all of which may be greater than the rights of the common stock. To date, none of the 10,000,000 authorized shares of preferred stock have been designated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voting powers, designations, preferences, and relative, participating, optional, or other rights and such qualifications, limitations, or restrictions of the preferred stock of each series that we sell under this prospectus and any applicable prospectus supplements in the certificate of designation relating to each such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payment date or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or other securities of ours, and, if applicable, the exchange price, or how it will be calculated, and under what circumstances it may be adjusted,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parity with the series of preferred stock being issued as to dividend rights and rights if we liquidate, dissolve or wind up our affairs;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issue and sell shares of preferred stock pursuant to this prospectus, together with any applicable prospectus supplement or free writing prospectus, the shares will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Delaware, the state of our incorporation, provide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could adversely affect the voting power, conversion or other rights of holders of common stock and reduce the likelihood that common stockholders will receive dividend payments and payments upon liquidation. Preferred stock could be issued quickly with terms designed to delay, deter or prevent a change in control of our company or make removal of management more difficult. Additionally, the issuance of preferred stock may have the effect of decreasing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Amended and Restated Certificate of Incorporation, Our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DGCL and our amended and restated certificate of incorporation and amended and restated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its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As a Delaware corporation, we are subject to Section 203 of the DGCL regarding corporate takeovers. In general, Section 203 of the DGCL prohibits a publicly held Delaware corporation from engaging in a “business combination” with an “interested stockholder” for a period of three years following the time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such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of the corporation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such time the business combination is approved by the board of directors of such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203 of the DGCL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of the DGCL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our board of directors is divided into three classes. Directors for each class will be elected at the annual meeting of stockholders held in the year in which the term for that class expires and thereafter will serve for a term of three years. At any meeting of stockholders for the election of directors at which a quorum is present, the election will be determined by a plurality of the votes cast by the stockholders entitled to vote in the election. Under the classified board provisions, it would take at least two elections of directors for any individual or group to gain control of our board of directors. Accordingly, these provisions could discourage a third party from initiating a proxy contest, making a tender offer or otherwise attempting to gain control of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so long as our board of directors is classified, our stockholders may remove our directors only for cause, by an affirmative vote of the holders of at least sixty-six and two-thirds percent (66-2/3%) of the voting power of the then-outstanding shares of capital stock entitled to vote generally at an election of directors,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Amendments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it may be amended, altered changed or repealed in any manner provided by the DGCL, provided that the amendment of certain provisions will require the approval of at least sixty-six and two-thirds percent (66-2/3%) of the voting power of all of the then-outstanding shares of our capital stock entitled to vote thereon, voting together as a single class. Our amended and restated bylaws may be adopted, amended or repealed by stockholders upon the approval of at least sixty-six and two-thirds percent (66-2/3%) of the voting power of all of the then-outstanding shares of capital stock entitled to vote thereon, voting together as a single class. Additionally, our amended and restated certificate of incorporation provides that any provisions of our amended and restated bylaws may be adopted, amended or repealed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Size of Board and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number of directors which constitute the board of directors shall be fixed exclusively by the board of directors. Any vacancies on our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resulting from any increase in the authorized number of directors or the death, resignation, disqualification, removal or other causes will be filled by a majority of the board of directors then in office, even though less than a quorum, or the sole remaining director. Our amended and restated certificate of incorporation provide that any director appointed to fill a vacancy on our board of directors will hold office until the next annual meeting of stockholders held to elect the class of directors to which such director is elected and until such director’s successor shall have been elected and qualified or such director’s earlier death,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only the chairperson of the board of directors, the chief executive officer, or the board of directors may call special meetings of stockholders. Stockholders may not call special stockholder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requires that any action to be taken by the Company’s stockholders must be effected at a duly called annual or special meeting of stockholders and not be taken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and nomination of candidates for election as directors, as well as minimum qualification requirements for stockholders making the proposals or nominations. Additionally, our amended and restated bylaws require that candidates for election as director disclose their qualifications and make certain representations.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that stockholders are denied the right to cumulate votes in the election of directors unless the company’s certificate of incorporation provides otherwise. Our amended and restated certificate of incorporation does not provide for cumulative voting.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“BBNX”. The applicable prospectus supplement will contain information, where applicable, as to any other listing, if any, on the Nasdaq Global Market or any securities market or other exchange of the preferred stock covered by such prospectus supplement. </w:t>
      </w:r>
    </w:p>
    <w:p>
      <w:pPr>
        <w:pStyle w:val="TextBody"/>
        <w:bidi w:val="0"/>
        <w:spacing w:before="480" w:after="0"/>
        <w:jc w:val="center"/>
        <w:rPr>
          <w:rFonts w:ascii="Times New Roman" w:hAnsi="Times New Roman"/>
          <w:b/>
          <w:sz w:val="20"/>
        </w:rPr>
      </w:pPr>
      <w:bookmarkStart w:id="22" w:name="toc108271_7"/>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of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480" w:after="0"/>
        <w:jc w:val="center"/>
        <w:rPr>
          <w:rFonts w:ascii="Times New Roman" w:hAnsi="Times New Roman"/>
          <w:b/>
          <w:sz w:val="20"/>
        </w:rPr>
      </w:pPr>
      <w:bookmarkStart w:id="23" w:name="toc108271_8"/>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as forms of warrant certificates containing the terms of the warrants being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relating to a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the number of shares of common stock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preferred stock, the number of shares of preferred stock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the right to receive dividends, if any, or, payments upon our liquidation, dissolution or winding up or to exercise voting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preferred stock, the right to receive dividends, if any, or, payments upon our liquidation, dissolution or winding up or to exercise voting rights, if 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480" w:after="0"/>
        <w:jc w:val="center"/>
        <w:rPr>
          <w:rFonts w:ascii="Times New Roman" w:hAnsi="Times New Roman"/>
          <w:b/>
          <w:sz w:val="20"/>
        </w:rPr>
      </w:pPr>
      <w:bookmarkStart w:id="24" w:name="toc108271_9"/>
      <w:bookmarkEnd w:id="24"/>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 </w:t>
      </w:r>
    </w:p>
    <w:p>
      <w:pPr>
        <w:pStyle w:val="TextBody"/>
        <w:bidi w:val="0"/>
        <w:spacing w:before="480" w:after="0"/>
        <w:jc w:val="center"/>
        <w:rPr>
          <w:rFonts w:ascii="Times New Roman" w:hAnsi="Times New Roman"/>
          <w:b/>
          <w:sz w:val="20"/>
        </w:rPr>
      </w:pPr>
      <w:bookmarkStart w:id="25" w:name="toc108271_10"/>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Global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Global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at-the-market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Dealers and agents participating in the distribution of the securities may be deemed underwriters, and compensation received by them on resale of the securities may be deemed to be underwriting discounts. If such dealers or agents were deemed to be underwriters, they may be subject to statutory limitations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and other compensation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or their affiliates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agents and underwriters who are qualified market makers on the Nasdaq Global Market may engage in passive market making transactions in the securities on the Nasdaq Global Market in accordance with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480" w:after="0"/>
        <w:jc w:val="center"/>
        <w:rPr>
          <w:rFonts w:ascii="Times New Roman" w:hAnsi="Times New Roman"/>
          <w:b/>
          <w:sz w:val="20"/>
        </w:rPr>
      </w:pPr>
      <w:bookmarkStart w:id="26" w:name="toc108271_11"/>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San Diego, California. </w:t>
      </w:r>
    </w:p>
    <w:p>
      <w:pPr>
        <w:pStyle w:val="TextBody"/>
        <w:bidi w:val="0"/>
        <w:spacing w:before="480" w:after="0"/>
        <w:jc w:val="center"/>
        <w:rPr>
          <w:rFonts w:ascii="Times New Roman" w:hAnsi="Times New Roman"/>
          <w:b/>
          <w:sz w:val="20"/>
        </w:rPr>
      </w:pPr>
      <w:bookmarkStart w:id="27" w:name="toc108271_12"/>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Beta Bionics, Inc. as of December 31, 2025 and 2024 and for each of the two years in the period ended December 31, 2025 appearing in Beta Bionics, Inc.’s Annual Report on Form 10-K for the year ended December 31, 2025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08271_13"/>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Copies of certain information filed by us with the SEC are also available on our website at www.betabionics.com. Information contained in or accessible through our website does not constitute a part of this prospectus and is not incorporated by reference into this prospectus. We have included our website in this prospectus solely as an inactive textual reference. </w:t>
      </w:r>
    </w:p>
    <w:p>
      <w:pPr>
        <w:pStyle w:val="TextBody"/>
        <w:bidi w:val="0"/>
        <w:spacing w:before="480" w:after="0"/>
        <w:jc w:val="center"/>
        <w:rPr>
          <w:rFonts w:ascii="Times New Roman" w:hAnsi="Times New Roman"/>
          <w:b/>
          <w:sz w:val="20"/>
        </w:rPr>
      </w:pPr>
      <w:bookmarkStart w:id="29" w:name="toc108271_14"/>
      <w:bookmarkEnd w:id="29"/>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after the filing and concurrent effectiveness of the registration statement of which this prospectus forms a part but prior to the termination of all offerings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 on Form 8-K (other than information furnished rather than filed) filed with the SEC on </w:t>
            </w:r>
            <w:hyperlink r:id="rId14">
              <w:r>
                <w:rPr>
                  <w:rStyle w:val="InternetLink"/>
                  <w:rFonts w:ascii="Times New Roman" w:hAnsi="Times New Roman"/>
                  <w:sz w:val="20"/>
                </w:rPr>
                <w:t>January 30,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capital stock, which is registered under Section 12 of the Exchange Act, described in </w:t>
            </w:r>
            <w:hyperlink r:id="rId15">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2024, filed with the SEC on March 25, 2025,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11 Hughes, Irvine, California 92618 Attn: Investor Relations, or telephoning us at (949) 427-7785.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$125,000,000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62877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628775" cy="3429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4"/>
        <w:gridCol w:w="60"/>
        <w:gridCol w:w="2437"/>
        <w:gridCol w:w="107"/>
        <w:gridCol w:w="2574"/>
        <w:gridCol w:w="121"/>
        <w:gridCol w:w="2182"/>
      </w:tblGrid>
      <w:tr>
        <w:trPr/>
        <w:tc>
          <w:tcPr>
            <w:tcW w:w="27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r>
      <w:tr>
        <w:trPr/>
        <w:tc>
          <w:tcPr>
            <w:tcW w:w="2724" w:type="dxa"/>
            <w:tcBorders/>
          </w:tcPr>
          <w:p>
            <w:pPr>
              <w:pStyle w:val="TableContents"/>
              <w:bidi w:val="0"/>
              <w:spacing w:before="0" w:after="283"/>
              <w:jc w:val="center"/>
              <w:rPr>
                <w:b/>
              </w:rPr>
            </w:pPr>
            <w:r>
              <w:rPr>
                <w:b/>
              </w:rPr>
              <w:t>J.P. Morgan</w:t>
            </w:r>
          </w:p>
        </w:tc>
        <w:tc>
          <w:tcPr>
            <w:tcW w:w="60" w:type="dxa"/>
            <w:tcBorders/>
            <w:vAlign w:val="bottom"/>
          </w:tcPr>
          <w:p>
            <w:pPr>
              <w:pStyle w:val="TableContents"/>
              <w:bidi w:val="0"/>
              <w:spacing w:before="0" w:after="283"/>
              <w:jc w:val="left"/>
              <w:rPr/>
            </w:pPr>
            <w:r>
              <w:rPr/>
              <w:t> </w:t>
            </w:r>
          </w:p>
        </w:tc>
        <w:tc>
          <w:tcPr>
            <w:tcW w:w="2437" w:type="dxa"/>
            <w:tcBorders/>
          </w:tcPr>
          <w:p>
            <w:pPr>
              <w:pStyle w:val="TableContents"/>
              <w:bidi w:val="0"/>
              <w:spacing w:before="0" w:after="283"/>
              <w:jc w:val="center"/>
              <w:rPr>
                <w:b/>
              </w:rPr>
            </w:pPr>
            <w:r>
              <w:rPr>
                <w:b/>
              </w:rPr>
              <w:t>Piper Sandler</w:t>
            </w:r>
          </w:p>
        </w:tc>
        <w:tc>
          <w:tcPr>
            <w:tcW w:w="107" w:type="dxa"/>
            <w:tcBorders/>
            <w:vAlign w:val="bottom"/>
          </w:tcPr>
          <w:p>
            <w:pPr>
              <w:pStyle w:val="TableContents"/>
              <w:bidi w:val="0"/>
              <w:spacing w:before="0" w:after="283"/>
              <w:jc w:val="left"/>
              <w:rPr/>
            </w:pPr>
            <w:r>
              <w:rPr/>
              <w:t> </w:t>
            </w:r>
          </w:p>
        </w:tc>
        <w:tc>
          <w:tcPr>
            <w:tcW w:w="2574" w:type="dxa"/>
            <w:tcBorders/>
          </w:tcPr>
          <w:p>
            <w:pPr>
              <w:pStyle w:val="TableContents"/>
              <w:bidi w:val="0"/>
              <w:spacing w:before="0" w:after="283"/>
              <w:jc w:val="center"/>
              <w:rPr>
                <w:b/>
              </w:rPr>
            </w:pPr>
            <w:r>
              <w:rPr>
                <w:b/>
              </w:rPr>
              <w:t>Wells Fargo Securities</w:t>
            </w:r>
          </w:p>
        </w:tc>
        <w:tc>
          <w:tcPr>
            <w:tcW w:w="121" w:type="dxa"/>
            <w:tcBorders/>
            <w:vAlign w:val="bottom"/>
          </w:tcPr>
          <w:p>
            <w:pPr>
              <w:pStyle w:val="TableContents"/>
              <w:bidi w:val="0"/>
              <w:spacing w:before="0" w:after="283"/>
              <w:jc w:val="left"/>
              <w:rPr/>
            </w:pPr>
            <w:r>
              <w:rPr/>
              <w:t>  </w:t>
            </w:r>
          </w:p>
        </w:tc>
        <w:tc>
          <w:tcPr>
            <w:tcW w:w="2182" w:type="dxa"/>
            <w:tcBorders/>
          </w:tcPr>
          <w:p>
            <w:pPr>
              <w:pStyle w:val="TableContents"/>
              <w:bidi w:val="0"/>
              <w:spacing w:before="0" w:after="283"/>
              <w:jc w:val="center"/>
              <w:rPr>
                <w:b/>
              </w:rPr>
            </w:pPr>
            <w:r>
              <w:rPr>
                <w:b/>
              </w:rPr>
              <w:t>Leerink Partners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74632/000119312526067065/bbnx-20251231.htm" TargetMode="External"/><Relationship Id="rId4" Type="http://schemas.openxmlformats.org/officeDocument/2006/relationships/hyperlink" Target="http://www.sec.gov/Archives/edgar/data/../../../ix?doc=/Archives/edgar/data/0001674632/000119312526151235/bbnx-20260408.htm" TargetMode="External"/><Relationship Id="rId5" Type="http://schemas.openxmlformats.org/officeDocument/2006/relationships/hyperlink" Target="http://www.sec.gov/Archives/edgar/data/../../../ix?doc=/Archives/edgar/data/0001674632/000119312526166843/bbnx-20260331.htm" TargetMode="External"/><Relationship Id="rId6" Type="http://schemas.openxmlformats.org/officeDocument/2006/relationships/hyperlink" Target="http://www.sec.gov/Archives/edgar/data/../../../ix?doc=/Archives/edgar/data/0001674632/000119312526323777/bbnx-20260630.htm" TargetMode="External"/><Relationship Id="rId7" Type="http://schemas.openxmlformats.org/officeDocument/2006/relationships/hyperlink" Target="http://www.sec.gov/Archives/edgar/data/1674632/000117184326000538/f8k_012926.htm" TargetMode="External"/><Relationship Id="rId8" Type="http://schemas.openxmlformats.org/officeDocument/2006/relationships/hyperlink" Target="http://www.sec.gov/Archives/edgar/data/../../../ix?doc=/Archives/edgar/data/0001674632/000117184326003617/f8k_052126.htm" TargetMode="External"/><Relationship Id="rId9" Type="http://schemas.openxmlformats.org/officeDocument/2006/relationships/hyperlink" Target="http://www.sec.gov/Archives/edgar/data/../../../ix?doc=/Archives/edgar/data/0001674632/000117184326003648/f8k_052226.htm" TargetMode="External"/><Relationship Id="rId10" Type="http://schemas.openxmlformats.org/officeDocument/2006/relationships/hyperlink" Target="http://www.sec.gov/Archives/edgar/data/../../../ix?doc=/Archives/edgar/data/1674632/000119312526392088/d153052d8k.htm" TargetMode="External"/><Relationship Id="rId11" Type="http://schemas.openxmlformats.org/officeDocument/2006/relationships/hyperlink" Target="http://www.sec.gov/Archives/edgar/data/1674632/000095017025044516/bbnx-ex4_3.htm" TargetMode="External"/><Relationship Id="rId12" Type="http://schemas.openxmlformats.org/officeDocument/2006/relationships/image" Target="media/image2.jpeg"/><Relationship Id="rId13" Type="http://schemas.openxmlformats.org/officeDocument/2006/relationships/hyperlink" Target="http://www.sec.gov/Archives/edgar/data/../../../ix?doc=/Archives/edgar/data/1674632/000119312526067065/bbnx-20251231.htm" TargetMode="External"/><Relationship Id="rId14" Type="http://schemas.openxmlformats.org/officeDocument/2006/relationships/hyperlink" Target="http://www.sec.gov/Archives/edgar/data/1674632/000117184326000538/f8k_012926.htm" TargetMode="External"/><Relationship Id="rId15" Type="http://schemas.openxmlformats.org/officeDocument/2006/relationships/hyperlink" Target="http://www.sec.gov/Archives/edgar/data/1674632/000095017025044516/bbnx-ex4_3.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33349</Words>
  <Characters>175273</Characters>
  <CharactersWithSpaces>209437</CharactersWithSpaces>
  <Paragraphs>2251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