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2" w:space="1" w:color="000000"/>
        </w:pBdr>
        <w:bidi w:val="0"/>
        <w:jc w:val="center"/>
        <w:rPr/>
      </w:pPr>
      <w:bookmarkStart w:id="0" w:name="bbnx-20260331.htm"/>
      <w:bookmarkStart w:id="1" w:name="ksbbnx20260331"/>
      <w:bookmarkEnd w:id="0"/>
      <w:bookmarkEnd w:id="1"/>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60" w:after="283"/>
        <w:jc w:val="center"/>
        <w:rPr>
          <w:rFonts w:ascii="Times New Roman" w:hAnsi="Times New Roman"/>
          <w:b/>
          <w:color w:val="000000"/>
          <w:sz w:val="30"/>
        </w:rPr>
      </w:pPr>
      <w:r>
        <w:rPr>
          <w:rFonts w:ascii="Times New Roman" w:hAnsi="Times New Roman"/>
          <w:b/>
          <w:color w:val="000000"/>
          <w:sz w:val="30"/>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quarterly period ended March 31, 2026</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001-42491</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60" w:after="283"/>
        <w:jc w:val="center"/>
        <w:rPr>
          <w:rFonts w:ascii="Times New Roman" w:hAnsi="Times New Roman"/>
          <w:b/>
          <w:color w:val="000000"/>
          <w:sz w:val="38"/>
        </w:rPr>
      </w:pPr>
      <w:r>
        <w:rPr>
          <w:rFonts w:ascii="Times New Roman" w:hAnsi="Times New Roman"/>
          <w:b/>
          <w:color w:val="000000"/>
          <w:sz w:val="38"/>
        </w:rPr>
        <w:t>BETA BIONICS,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47-5386878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11 Hughes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Irvine,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92618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 (949) 427-7785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Securities registered pursuant to Section 12(b) of the Act:</w:t>
      </w:r>
    </w:p>
    <w:tbl>
      <w:tblPr>
        <w:tblW w:w="6266" w:type="dxa"/>
        <w:jc w:val="left"/>
        <w:tblInd w:w="0" w:type="dxa"/>
        <w:tblLayout w:type="fixed"/>
        <w:tblCellMar>
          <w:top w:w="28" w:type="dxa"/>
          <w:left w:w="28" w:type="dxa"/>
          <w:bottom w:w="28" w:type="dxa"/>
          <w:right w:w="28" w:type="dxa"/>
        </w:tblCellMar>
      </w:tblPr>
      <w:tblGrid>
        <w:gridCol w:w="2641"/>
        <w:gridCol w:w="109"/>
        <w:gridCol w:w="706"/>
        <w:gridCol w:w="109"/>
        <w:gridCol w:w="2701"/>
      </w:tblGrid>
      <w:tr>
        <w:trPr/>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BBNX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Nasdaq Global Market</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2"/>
        </w:rPr>
        <w:t>Yes</w:t>
      </w:r>
      <w:r>
        <w:rPr>
          <w:rFonts w:ascii="Times New Roman" w:hAnsi="Times New Roman"/>
          <w:color w:val="000000"/>
          <w:sz w:val="20"/>
        </w:rPr>
        <w:t xml:space="preserve"> ☒ </w:t>
      </w:r>
      <w:r>
        <w:rPr>
          <w:rFonts w:ascii="Times New Roman" w:hAnsi="Times New Roman"/>
          <w:caps/>
          <w:color w:val="000000"/>
          <w:sz w:val="12"/>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2"/>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2"/>
        </w:rPr>
        <w:t>Yes</w:t>
      </w:r>
      <w:r>
        <w:rPr>
          <w:rFonts w:ascii="Times New Roman" w:hAnsi="Times New Roman"/>
          <w:color w:val="000000"/>
          <w:sz w:val="12"/>
        </w:rPr>
        <w:t xml:space="preserve"> </w:t>
      </w:r>
      <w:r>
        <w:rPr>
          <w:rFonts w:ascii="Times New Roman" w:hAnsi="Times New Roman"/>
          <w:color w:val="000000"/>
          <w:sz w:val="20"/>
        </w:rPr>
        <w:t xml:space="preserve">☒ </w:t>
      </w:r>
      <w:r>
        <w:rPr>
          <w:rFonts w:ascii="Times New Roman" w:hAnsi="Times New Roman"/>
          <w:caps/>
          <w:color w:val="000000"/>
          <w:sz w:val="12"/>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2"/>
        </w:rPr>
      </w:pPr>
      <w:r>
        <w:rPr>
          <w:rFonts w:ascii="Times New Roman" w:hAnsi="Times New Roman"/>
          <w:color w:val="000000"/>
          <w:sz w:val="12"/>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3901" w:type="dxa"/>
        <w:jc w:val="left"/>
        <w:tblInd w:w="0" w:type="dxa"/>
        <w:tblLayout w:type="fixed"/>
        <w:tblCellMar>
          <w:top w:w="28" w:type="dxa"/>
          <w:left w:w="28" w:type="dxa"/>
          <w:bottom w:w="28" w:type="dxa"/>
          <w:right w:w="28" w:type="dxa"/>
        </w:tblCellMar>
      </w:tblPr>
      <w:tblGrid>
        <w:gridCol w:w="1456"/>
        <w:gridCol w:w="109"/>
        <w:gridCol w:w="316"/>
        <w:gridCol w:w="109"/>
        <w:gridCol w:w="1441"/>
        <w:gridCol w:w="109"/>
        <w:gridCol w:w="361"/>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2"/>
        </w:rPr>
        <w:t xml:space="preserve">Indicate by check mark whether the Registrant is a shell company (as defined in Rule 12b-2 of the Exchange Act). </w:t>
      </w:r>
      <w:r>
        <w:rPr>
          <w:rFonts w:ascii="Times New Roman" w:hAnsi="Times New Roman"/>
          <w:caps/>
          <w:color w:val="000000"/>
          <w:sz w:val="12"/>
        </w:rPr>
        <w:t>Yes</w:t>
      </w:r>
      <w:r>
        <w:rPr>
          <w:rFonts w:ascii="Times New Roman" w:hAnsi="Times New Roman"/>
          <w:color w:val="000000"/>
          <w:sz w:val="20"/>
        </w:rPr>
        <w:t xml:space="preserve"> ☐ </w:t>
      </w:r>
      <w:r>
        <w:rPr>
          <w:rFonts w:ascii="Times New Roman" w:hAnsi="Times New Roman"/>
          <w:caps/>
          <w:color w:val="000000"/>
          <w:sz w:val="12"/>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2"/>
        </w:rPr>
      </w:pPr>
      <w:r>
        <w:rPr>
          <w:rFonts w:ascii="Times New Roman" w:hAnsi="Times New Roman"/>
          <w:color w:val="000000"/>
          <w:sz w:val="12"/>
        </w:rPr>
        <w:t>The number of shares of the Registrant’s Common Stock outstanding as of April 16, 2026 was 44,561,695.</w:t>
      </w:r>
    </w:p>
    <w:p>
      <w:pPr>
        <w:pStyle w:val="TextBody"/>
        <w:pBdr>
          <w:bottom w:val="double" w:sz="2"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9"/>
        <w:gridCol w:w="8834"/>
        <w:gridCol w:w="512"/>
      </w:tblGrid>
      <w:tr>
        <w:trPr/>
        <w:tc>
          <w:tcPr>
            <w:tcW w:w="859" w:type="dxa"/>
            <w:tcBorders/>
            <w:vAlign w:val="center"/>
          </w:tcPr>
          <w:p>
            <w:pPr>
              <w:pStyle w:val="TableContents"/>
              <w:bidi w:val="0"/>
              <w:spacing w:before="0" w:after="283"/>
              <w:jc w:val="left"/>
              <w:rPr>
                <w:sz w:val="4"/>
                <w:szCs w:val="4"/>
              </w:rPr>
            </w:pPr>
            <w:r>
              <w:rPr>
                <w:sz w:val="4"/>
                <w:szCs w:val="4"/>
              </w:rPr>
            </w:r>
          </w:p>
        </w:tc>
        <w:tc>
          <w:tcPr>
            <w:tcW w:w="88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1_financial_statements">
              <w:r>
                <w:rPr>
                  <w:rStyle w:val="InternetLink"/>
                  <w:rFonts w:ascii="Times New Roman" w:hAnsi="Times New Roman"/>
                  <w:color w:val="0000FF"/>
                  <w:sz w:val="20"/>
                  <w:u w:val="single"/>
                </w:rPr>
                <w:t>Item 1.</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March 31, 2026 (Unaudited)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operations">
              <w:r>
                <w:rPr>
                  <w:rStyle w:val="InternetLink"/>
                  <w:rFonts w:ascii="Times New Roman" w:hAnsi="Times New Roman"/>
                  <w:color w:val="0000FF"/>
                  <w:sz w:val="20"/>
                  <w:u w:val="single"/>
                </w:rPr>
                <w:t>Condensed Statements of Operations and Comprehensive Loss for the three months ended March 31,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equity">
              <w:r>
                <w:rPr>
                  <w:rStyle w:val="InternetLink"/>
                  <w:rFonts w:ascii="Times New Roman" w:hAnsi="Times New Roman"/>
                  <w:color w:val="0000FF"/>
                  <w:sz w:val="20"/>
                  <w:u w:val="single"/>
                </w:rPr>
                <w:t>Condensed Statements of Convertible Preferred Stock and Stockholders’ Equity for the three months ended March 31,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Statements of Cash Flows for the three months ended March 31,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mda">
              <w:r>
                <w:rPr>
                  <w:rStyle w:val="InternetLink"/>
                  <w:rFonts w:ascii="Times New Roman" w:hAnsi="Times New Roman"/>
                  <w:color w:val="0000FF"/>
                  <w:sz w:val="20"/>
                  <w:u w:val="single"/>
                </w:rPr>
                <w:t>Item 2.</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21</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market_risk">
              <w:r>
                <w:rPr>
                  <w:rStyle w:val="InternetLink"/>
                  <w:rFonts w:ascii="Times New Roman" w:hAnsi="Times New Roman"/>
                  <w:color w:val="0000FF"/>
                  <w:sz w:val="20"/>
                  <w:u w:val="single"/>
                </w:rPr>
                <w:t>Item 3.</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37</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controls_and_procedures">
              <w:r>
                <w:rPr>
                  <w:rStyle w:val="InternetLink"/>
                  <w:rFonts w:ascii="Times New Roman" w:hAnsi="Times New Roman"/>
                  <w:color w:val="0000FF"/>
                  <w:sz w:val="20"/>
                  <w:u w:val="single"/>
                </w:rPr>
                <w:t>Item 4.</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other_information">
              <w:r>
                <w:rPr>
                  <w:rStyle w:val="InternetLink"/>
                  <w:rFonts w:ascii="Times New Roman" w:hAnsi="Times New Roman"/>
                  <w:b/>
                  <w:color w:val="0000FF"/>
                  <w:sz w:val="20"/>
                  <w:u w:val="single"/>
                </w:rPr>
                <w:t>PART II</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38</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legal_proceedings">
              <w:r>
                <w:rPr>
                  <w:rStyle w:val="InternetLink"/>
                  <w:rFonts w:ascii="Times New Roman" w:hAnsi="Times New Roman"/>
                  <w:color w:val="0000FF"/>
                  <w:sz w:val="20"/>
                  <w:u w:val="single"/>
                </w:rPr>
                <w:t>Item 1.</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38</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risk_factors">
              <w:r>
                <w:rPr>
                  <w:rStyle w:val="InternetLink"/>
                  <w:rFonts w:ascii="Times New Roman" w:hAnsi="Times New Roman"/>
                  <w:color w:val="0000FF"/>
                  <w:sz w:val="20"/>
                  <w:u w:val="single"/>
                </w:rPr>
                <w:t>Item 1A.</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38</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use_of_proceeds">
              <w:r>
                <w:rPr>
                  <w:rStyle w:val="InternetLink"/>
                  <w:rFonts w:ascii="Times New Roman" w:hAnsi="Times New Roman"/>
                  <w:color w:val="0000FF"/>
                  <w:sz w:val="20"/>
                  <w:u w:val="single"/>
                </w:rPr>
                <w:t>Item 2.</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use_of_proceed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38</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defaults_upon_senior_securities">
              <w:r>
                <w:rPr>
                  <w:rStyle w:val="InternetLink"/>
                  <w:rFonts w:ascii="Times New Roman" w:hAnsi="Times New Roman"/>
                  <w:color w:val="0000FF"/>
                  <w:sz w:val="20"/>
                  <w:u w:val="single"/>
                </w:rPr>
                <w:t>Item 3.</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38</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mine_safety_disclosures">
              <w:r>
                <w:rPr>
                  <w:rStyle w:val="InternetLink"/>
                  <w:rFonts w:ascii="Times New Roman" w:hAnsi="Times New Roman"/>
                  <w:color w:val="0000FF"/>
                  <w:sz w:val="20"/>
                  <w:u w:val="single"/>
                </w:rPr>
                <w:t>Item 4.</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38</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other_information">
              <w:r>
                <w:rPr>
                  <w:rStyle w:val="InternetLink"/>
                  <w:rFonts w:ascii="Times New Roman" w:hAnsi="Times New Roman"/>
                  <w:color w:val="0000FF"/>
                  <w:sz w:val="20"/>
                  <w:u w:val="single"/>
                </w:rPr>
                <w:t>Item 5.</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38</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6_exhibits">
              <w:r>
                <w:rPr>
                  <w:rStyle w:val="InternetLink"/>
                  <w:rFonts w:ascii="Times New Roman" w:hAnsi="Times New Roman"/>
                  <w:color w:val="0000FF"/>
                  <w:sz w:val="20"/>
                  <w:u w:val="single"/>
                </w:rPr>
                <w:t>Item 6.</w:t>
              </w:r>
            </w:hyperlink>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39</w:t>
            </w:r>
          </w:p>
        </w:tc>
      </w:tr>
      <w:tr>
        <w:trPr/>
        <w:tc>
          <w:tcPr>
            <w:tcW w:w="85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FORWARD-LOOKING STATEMENTS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This Quarterly Report on Form 10-Q (this Quarterly Report) contains forward-looking statements about us and our industry that involve substantial risks and uncertainties. All statements other than statements of historical facts contained in this Quarterly Report,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Part II. Item 1A. “Risk Factors” and elsewhere in this Quarterly Report, regarding, among other things: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expected future growth;</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size and growth potential of the markets for our products, and our ability to serve those markets;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accurately forecast demand for our products;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rate and degree of market acceptance of our products;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expected future growth of our sales and marketing organization;</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implement our multi-channel coverage and reimbursement strategy;</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performance of, and our reliance on, third parties in connection with the commercialization of our products, including single source suppliers;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accurately forecast and manufacture appropriate quantities of our products to meet commercial demand;</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regulatory developments in the United States;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maintain regulatory approval for our products or obtain regulatory approval for new products in the United States;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research and development for existing products and any future products;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development, regulatory approval and commercialization of competing products;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retain and hire senior management and key personnel;</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expectations regarding the period during which we qualify as an emerging growth company under the Jumpstart Our Business Startups Act (JOBS Act);</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expectations regarding the impact of geopolitical and macroeconomic factors;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financial performance and capital requirements;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expectations regarding our ability to obtain and maintain intellectual property protection for our products, as well as our ability to operate our business without infringing the intellectual property rights of others; </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expected use of our existing cash, cash equivalents and short-term and long-term investments, including expected use of net proceeds from our initial public offering and other financing transactions; and </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other risks and uncertainties, including those described under Part II. Item 1A. “Risk Factors” in this Quarterly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These risks are not exhaustive. Other sections of this Quarterly Report may include additional factors that could harm our business and financial performance.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operating results. These forward-looking statements speak only as of the date of this Quarterly Report.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 should read this Quarterly Report and the documents that we reference in this Quarterly Report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b/>
          <w:color w:val="231F20"/>
          <w:sz w:val="20"/>
        </w:rPr>
      </w:pPr>
      <w:bookmarkStart w:id="4" w:name="condensed_balance_sheets"/>
      <w:bookmarkEnd w:id="4"/>
      <w:r>
        <w:rPr>
          <w:rFonts w:ascii="Times New Roman" w:hAnsi="Times New Roman"/>
          <w:b/>
          <w:color w:val="231F20"/>
          <w:sz w:val="20"/>
        </w:rPr>
        <w:t>CONDENSED BALANCE SHEETS</w:t>
      </w:r>
    </w:p>
    <w:p>
      <w:pPr>
        <w:pStyle w:val="TextBody"/>
        <w:bidi w:val="0"/>
        <w:spacing w:before="120" w:after="40"/>
        <w:jc w:val="center"/>
        <w:rPr>
          <w:rFonts w:ascii="Times New Roman" w:hAnsi="Times New Roman"/>
          <w:b/>
          <w:color w:val="231F20"/>
          <w:sz w:val="20"/>
        </w:rPr>
      </w:pPr>
      <w:r>
        <w:rPr>
          <w:rFonts w:ascii="Times New Roman" w:hAnsi="Times New Roman"/>
          <w:b/>
          <w:color w:val="231F20"/>
          <w:sz w:val="20"/>
        </w:rPr>
        <w:t>(In thousands, except number of shares)</w:t>
      </w:r>
    </w:p>
    <w:tbl>
      <w:tblPr>
        <w:tblW w:w="10205" w:type="dxa"/>
        <w:jc w:val="left"/>
        <w:tblInd w:w="0" w:type="dxa"/>
        <w:tblLayout w:type="fixed"/>
        <w:tblCellMar>
          <w:top w:w="28" w:type="dxa"/>
          <w:left w:w="28" w:type="dxa"/>
          <w:bottom w:w="28" w:type="dxa"/>
          <w:right w:w="28" w:type="dxa"/>
        </w:tblCellMar>
      </w:tblPr>
      <w:tblGrid>
        <w:gridCol w:w="7167"/>
        <w:gridCol w:w="146"/>
        <w:gridCol w:w="196"/>
        <w:gridCol w:w="751"/>
        <w:gridCol w:w="166"/>
        <w:gridCol w:w="146"/>
        <w:gridCol w:w="211"/>
        <w:gridCol w:w="810"/>
        <w:gridCol w:w="612"/>
      </w:tblGrid>
      <w:tr>
        <w:trPr/>
        <w:tc>
          <w:tcPr>
            <w:tcW w:w="7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31,576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187,549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17,118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21,722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9,840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267,905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328,743</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4,998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22,431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1,557</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30,924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1,547</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41,133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$0.0001</w:t>
            </w:r>
            <w:r>
              <w:rPr>
                <w:rFonts w:ascii="Times New Roman" w:hAnsi="Times New Roman"/>
                <w:color w:val="000000"/>
                <w:sz w:val="20"/>
              </w:rPr>
              <w:t> </w:t>
            </w:r>
            <w:r>
              <w:rPr>
                <w:rFonts w:ascii="Times New Roman" w:hAnsi="Times New Roman"/>
                <w:color w:val="000000"/>
                <w:sz w:val="17"/>
              </w:rPr>
              <w:t>par value, 700,000,000</w:t>
            </w:r>
            <w:r>
              <w:rPr>
                <w:rFonts w:ascii="Times New Roman" w:hAnsi="Times New Roman"/>
                <w:color w:val="000000"/>
                <w:sz w:val="20"/>
              </w:rPr>
              <w:t> </w:t>
            </w:r>
            <w:r>
              <w:rPr>
                <w:rFonts w:ascii="Times New Roman" w:hAnsi="Times New Roman"/>
                <w:color w:val="000000"/>
                <w:sz w:val="17"/>
              </w:rPr>
              <w:t>shares authorized; 44,561,695</w:t>
            </w:r>
            <w:r>
              <w:rPr>
                <w:rFonts w:ascii="Times New Roman" w:hAnsi="Times New Roman"/>
                <w:color w:val="000000"/>
                <w:sz w:val="20"/>
              </w:rPr>
              <w:t> </w:t>
            </w:r>
            <w:r>
              <w:rPr>
                <w:rFonts w:ascii="Times New Roman" w:hAnsi="Times New Roman"/>
                <w:color w:val="000000"/>
                <w:sz w:val="17"/>
              </w:rPr>
              <w:t>and 44,360,873</w:t>
            </w:r>
            <w:r>
              <w:rPr>
                <w:rFonts w:ascii="Times New Roman" w:hAnsi="Times New Roman"/>
                <w:color w:val="000000"/>
                <w:sz w:val="20"/>
              </w:rPr>
              <w:t> </w:t>
            </w:r>
            <w:r>
              <w:rPr>
                <w:rFonts w:ascii="Times New Roman" w:hAnsi="Times New Roman"/>
                <w:color w:val="000000"/>
                <w:sz w:val="17"/>
              </w:rPr>
              <w:t>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663,168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657,140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(369,937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287,610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328,743</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231F20"/>
          <w:sz w:val="20"/>
        </w:rPr>
      </w:pPr>
      <w:r>
        <w:rPr>
          <w:rFonts w:ascii="Times New Roman" w:hAnsi="Times New Roman"/>
          <w:color w:val="231F2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sz w:val="20"/>
        </w:rPr>
      </w:pPr>
      <w:bookmarkStart w:id="5" w:name="condensed_statements_of_operations"/>
      <w:bookmarkEnd w:id="5"/>
      <w:r>
        <w:rPr>
          <w:rFonts w:ascii="Times New Roman" w:hAnsi="Times New Roman"/>
          <w:b/>
          <w:color w:val="000000"/>
          <w:sz w:val="20"/>
        </w:rPr>
        <w:t xml:space="preserve">CONDENSED </w:t>
      </w:r>
      <w:r>
        <w:rPr>
          <w:rFonts w:ascii="Times New Roman" w:hAnsi="Times New Roman"/>
          <w:b/>
          <w:color w:val="231F20"/>
          <w:sz w:val="20"/>
        </w:rPr>
        <w:t>STATEMENTS OF OPERATIONS</w:t>
      </w:r>
      <w:r>
        <w:rPr>
          <w:rFonts w:ascii="Times New Roman" w:hAnsi="Times New Roman"/>
          <w:color w:val="231F20"/>
          <w:sz w:val="20"/>
        </w:rPr>
        <w:t xml:space="preserve"> </w:t>
      </w:r>
      <w:r>
        <w:rPr>
          <w:rFonts w:ascii="Times New Roman" w:hAnsi="Times New Roman"/>
          <w:b/>
          <w:color w:val="231F20"/>
          <w:sz w:val="20"/>
        </w:rPr>
        <w:t>AND COMPREHENSIVE LOSS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(In thousands, except number of shares and per share data)</w:t>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6046"/>
        <w:gridCol w:w="146"/>
        <w:gridCol w:w="211"/>
        <w:gridCol w:w="1036"/>
        <w:gridCol w:w="166"/>
        <w:gridCol w:w="146"/>
        <w:gridCol w:w="211"/>
        <w:gridCol w:w="1036"/>
        <w:gridCol w:w="6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short-term and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44,436,274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30,714,769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231F20"/>
          <w:sz w:val="20"/>
        </w:rPr>
      </w:pPr>
      <w:r>
        <w:rPr>
          <w:rFonts w:ascii="Times New Roman" w:hAnsi="Times New Roman"/>
          <w:color w:val="231F20"/>
          <w:sz w:val="20"/>
        </w:rPr>
        <w:t>The accompanying notes are an integral part of these unaudited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sz w:val="20"/>
        </w:rPr>
      </w:pPr>
      <w:bookmarkStart w:id="6" w:name="condensed_statements_of_equity"/>
      <w:bookmarkEnd w:id="6"/>
      <w:r>
        <w:rPr>
          <w:rFonts w:ascii="Times New Roman" w:hAnsi="Times New Roman"/>
          <w:b/>
          <w:color w:val="000000"/>
          <w:sz w:val="20"/>
        </w:rPr>
        <w:t xml:space="preserve">CONDENSED </w:t>
      </w:r>
      <w:r>
        <w:rPr>
          <w:rFonts w:ascii="Times New Roman" w:hAnsi="Times New Roman"/>
          <w:b/>
          <w:color w:val="231F20"/>
          <w:sz w:val="20"/>
        </w:rPr>
        <w:t>STATEMENTS OF CONVERTIBLE PREFERRED STOCK AND</w:t>
      </w:r>
      <w:r>
        <w:rPr>
          <w:rFonts w:ascii="Times New Roman" w:hAnsi="Times New Roman"/>
          <w:color w:val="231F20"/>
          <w:sz w:val="20"/>
        </w:rPr>
        <w:t xml:space="preserve"> </w:t>
      </w:r>
      <w:r>
        <w:rPr>
          <w:rFonts w:ascii="Times New Roman" w:hAnsi="Times New Roman"/>
          <w:b/>
          <w:color w:val="231F20"/>
          <w:sz w:val="20"/>
        </w:rPr>
        <w:t>STOCKHOLDERS’ EQUITY</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(In thousands, except number of shares)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231F20"/>
          <w:sz w:val="20"/>
          <w:u w:val="single"/>
        </w:rPr>
      </w:pPr>
      <w:r>
        <w:rPr>
          <w:rFonts w:ascii="Times New Roman" w:hAnsi="Times New Roman"/>
          <w:b/>
          <w:color w:val="231F20"/>
          <w:sz w:val="20"/>
          <w:u w:val="single"/>
        </w:rPr>
        <w:t>Three months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4"/>
        <w:gridCol w:w="146"/>
        <w:gridCol w:w="151"/>
        <w:gridCol w:w="360"/>
        <w:gridCol w:w="146"/>
        <w:gridCol w:w="146"/>
        <w:gridCol w:w="196"/>
        <w:gridCol w:w="375"/>
        <w:gridCol w:w="146"/>
        <w:gridCol w:w="146"/>
        <w:gridCol w:w="146"/>
        <w:gridCol w:w="146"/>
        <w:gridCol w:w="766"/>
        <w:gridCol w:w="146"/>
        <w:gridCol w:w="146"/>
        <w:gridCol w:w="196"/>
        <w:gridCol w:w="375"/>
        <w:gridCol w:w="146"/>
        <w:gridCol w:w="146"/>
        <w:gridCol w:w="181"/>
        <w:gridCol w:w="586"/>
        <w:gridCol w:w="146"/>
        <w:gridCol w:w="146"/>
        <w:gridCol w:w="331"/>
        <w:gridCol w:w="690"/>
        <w:gridCol w:w="151"/>
        <w:gridCol w:w="146"/>
        <w:gridCol w:w="194"/>
        <w:gridCol w:w="677"/>
        <w:gridCol w:w="151"/>
        <w:gridCol w:w="146"/>
        <w:gridCol w:w="210"/>
        <w:gridCol w:w="683"/>
        <w:gridCol w:w="278"/>
      </w:tblGrid>
      <w:tr>
        <w:trPr/>
        <w:tc>
          <w:tcPr>
            <w:tcW w:w="1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44,360,873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657,140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(369,937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287,610</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128,206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623</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5,406</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Unrealized loss on short-term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(499</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(21,895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(21,895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44,561,695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663,168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(391,832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271,245</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u w:val="single"/>
        </w:rPr>
      </w:pPr>
      <w:r>
        <w:rPr>
          <w:rFonts w:ascii="Times New Roman" w:hAnsi="Times New Roman"/>
          <w:b/>
          <w:color w:val="231F20"/>
          <w:sz w:val="20"/>
          <w:u w:val="single"/>
        </w:rPr>
        <w:t>Three months ended March 31, 2025</w:t>
      </w:r>
    </w:p>
    <w:p>
      <w:pPr>
        <w:pStyle w:val="TextBody"/>
        <w:bidi w:val="0"/>
        <w:jc w:val="left"/>
        <w:rPr/>
      </w:pPr>
      <w:r>
        <w:rPr/>
        <w:t> </w:t>
      </w:r>
    </w:p>
    <w:tbl>
      <w:tblPr>
        <w:tblW w:w="10555" w:type="dxa"/>
        <w:jc w:val="left"/>
        <w:tblInd w:w="0" w:type="dxa"/>
        <w:tblLayout w:type="fixed"/>
        <w:tblCellMar>
          <w:top w:w="28" w:type="dxa"/>
          <w:left w:w="28" w:type="dxa"/>
          <w:bottom w:w="28" w:type="dxa"/>
          <w:right w:w="28" w:type="dxa"/>
        </w:tblCellMar>
      </w:tblPr>
      <w:tblGrid>
        <w:gridCol w:w="1131"/>
        <w:gridCol w:w="146"/>
        <w:gridCol w:w="146"/>
        <w:gridCol w:w="811"/>
        <w:gridCol w:w="151"/>
        <w:gridCol w:w="146"/>
        <w:gridCol w:w="181"/>
        <w:gridCol w:w="631"/>
        <w:gridCol w:w="151"/>
        <w:gridCol w:w="146"/>
        <w:gridCol w:w="146"/>
        <w:gridCol w:w="146"/>
        <w:gridCol w:w="766"/>
        <w:gridCol w:w="146"/>
        <w:gridCol w:w="146"/>
        <w:gridCol w:w="196"/>
        <w:gridCol w:w="375"/>
        <w:gridCol w:w="146"/>
        <w:gridCol w:w="146"/>
        <w:gridCol w:w="181"/>
        <w:gridCol w:w="586"/>
        <w:gridCol w:w="146"/>
        <w:gridCol w:w="146"/>
        <w:gridCol w:w="350"/>
        <w:gridCol w:w="671"/>
        <w:gridCol w:w="146"/>
        <w:gridCol w:w="146"/>
        <w:gridCol w:w="194"/>
        <w:gridCol w:w="677"/>
        <w:gridCol w:w="151"/>
        <w:gridCol w:w="146"/>
        <w:gridCol w:w="197"/>
        <w:gridCol w:w="689"/>
        <w:gridCol w:w="276"/>
      </w:tblGrid>
      <w:tr>
        <w:trPr/>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17,228,954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321,373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6,667,793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(296,737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(245,360</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Conversion of convertible preferred stock into common stock 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(17,228,954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(321,373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19,827,003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321,371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321,373</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20"/>
              </w:rPr>
            </w:pPr>
            <w:r>
              <w:rPr>
                <w:rFonts w:ascii="Times New Roman" w:hAnsi="Times New Roman"/>
                <w:color w:val="000000"/>
                <w:sz w:val="13"/>
              </w:rPr>
              <w:t>Issuance of common stock in initial public offering, net of underwriting discounts and commissions and offering costs of $21.7</w:t>
            </w:r>
            <w:r>
              <w:rPr>
                <w:rFonts w:ascii="Times New Roman" w:hAnsi="Times New Roman"/>
                <w:color w:val="000000"/>
                <w:sz w:val="20"/>
              </w:rPr>
              <w:t> </w:t>
            </w:r>
            <w:r>
              <w:rPr>
                <w:rFonts w:ascii="Times New Roman" w:hAnsi="Times New Roman"/>
                <w:color w:val="000000"/>
                <w:sz w:val="13"/>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190,378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190,379</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20"/>
              </w:rPr>
            </w:pPr>
            <w:r>
              <w:rPr>
                <w:rFonts w:ascii="Times New Roman" w:hAnsi="Times New Roman"/>
                <w:color w:val="000000"/>
                <w:sz w:val="13"/>
              </w:rPr>
              <w:t>Issuance of common stock under private placement offering, net of offering costs of $1.4</w:t>
            </w:r>
            <w:r>
              <w:rPr>
                <w:rFonts w:ascii="Times New Roman" w:hAnsi="Times New Roman"/>
                <w:color w:val="000000"/>
                <w:sz w:val="20"/>
              </w:rPr>
              <w:t> </w:t>
            </w:r>
            <w:r>
              <w:rPr>
                <w:rFonts w:ascii="Times New Roman" w:hAnsi="Times New Roman"/>
                <w:color w:val="000000"/>
                <w:sz w:val="13"/>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15,591</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Reclassification of convertible preferred stock and common stock warrants into common stock 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3,369,473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57,348</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2,804</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Unrealized gain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175</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(28,656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(28,656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43,353,890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638,901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(325,393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313,752</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231F20"/>
          <w:sz w:val="20"/>
        </w:rPr>
      </w:pPr>
      <w:r>
        <w:rPr>
          <w:rFonts w:ascii="Times New Roman" w:hAnsi="Times New Roman"/>
          <w:color w:val="231F20"/>
          <w:sz w:val="20"/>
        </w:rPr>
        <w:t>The accompanying notes are an integral part of these unaudited condensed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sz w:val="20"/>
        </w:rPr>
      </w:pPr>
      <w:bookmarkStart w:id="7" w:name="condensed_statements_of_cash_flows"/>
      <w:bookmarkEnd w:id="7"/>
      <w:r>
        <w:rPr>
          <w:rFonts w:ascii="Times New Roman" w:hAnsi="Times New Roman"/>
          <w:b/>
          <w:color w:val="000000"/>
          <w:sz w:val="20"/>
        </w:rPr>
        <w:t xml:space="preserve">CONDENSED </w:t>
      </w:r>
      <w:r>
        <w:rPr>
          <w:rFonts w:ascii="Times New Roman" w:hAnsi="Times New Roman"/>
          <w:b/>
          <w:color w:val="231F20"/>
          <w:sz w:val="20"/>
        </w:rPr>
        <w:t>STATEMENTS OF CASH FLOWS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(In thousands)</w:t>
      </w:r>
    </w:p>
    <w:p>
      <w:pPr>
        <w:pStyle w:val="TextBody"/>
        <w:bidi w:val="0"/>
        <w:jc w:val="center"/>
        <w:rPr/>
      </w:pPr>
      <w:r>
        <w:rPr/>
        <w:t> </w:t>
      </w:r>
    </w:p>
    <w:tbl>
      <w:tblPr>
        <w:tblW w:w="9001" w:type="dxa"/>
        <w:jc w:val="left"/>
        <w:tblInd w:w="0" w:type="dxa"/>
        <w:tblLayout w:type="fixed"/>
        <w:tblCellMar>
          <w:top w:w="28" w:type="dxa"/>
          <w:left w:w="28" w:type="dxa"/>
          <w:bottom w:w="28" w:type="dxa"/>
          <w:right w:w="28" w:type="dxa"/>
        </w:tblCellMar>
      </w:tblPr>
      <w:tblGrid>
        <w:gridCol w:w="6376"/>
        <w:gridCol w:w="146"/>
        <w:gridCol w:w="192"/>
        <w:gridCol w:w="592"/>
        <w:gridCol w:w="160"/>
        <w:gridCol w:w="155"/>
        <w:gridCol w:w="192"/>
        <w:gridCol w:w="672"/>
        <w:gridCol w:w="516"/>
      </w:tblGrid>
      <w:tr>
        <w:trPr/>
        <w:tc>
          <w:tcPr>
            <w:tcW w:w="6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(28,656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provision (recovery)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premium (discount) on short-term and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(23,832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(19,975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(142,935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Purchases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(24,784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(63,854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maturities and redemptions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(1,377</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21,839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(179,122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the issuance of common stock, net of underwriting discounts, commissions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195,430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the issuance of common stock from private placement,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15,591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w:t>
            </w:r>
          </w:p>
        </w:tc>
        <w:tc>
          <w:tcPr>
            <w:tcW w:w="1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211,119</w:t>
            </w:r>
          </w:p>
        </w:tc>
        <w:tc>
          <w:tcPr>
            <w:tcW w:w="5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12,022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31,676</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30,532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30,306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42,554</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non-cash investing and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Reclassification of long-term investments to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30,153</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convertible preferred stock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321,373</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warrants net exercise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57,348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Reclassification of deferred offering costs to equity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5,051</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Operating lease right-of-use asset obtained in exchange for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42,454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cash, cash equivalents and restricted cash shown in the statement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30,306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42,554</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231F20"/>
          <w:sz w:val="20"/>
        </w:rPr>
      </w:pPr>
      <w:r>
        <w:rPr>
          <w:rFonts w:ascii="Times New Roman" w:hAnsi="Times New Roman"/>
          <w:color w:val="231F2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b/>
          <w:color w:val="231F20"/>
          <w:sz w:val="20"/>
        </w:rPr>
      </w:pPr>
      <w:bookmarkStart w:id="8" w:name="notes_to_financial_statements"/>
      <w:bookmarkEnd w:id="8"/>
      <w:r>
        <w:rPr>
          <w:rFonts w:ascii="Times New Roman" w:hAnsi="Times New Roman"/>
          <w:b/>
          <w:color w:val="231F20"/>
          <w:sz w:val="20"/>
        </w:rPr>
        <w:t>NOTES TO FINANCIAL STATEMENTS</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(Unaudited)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1.</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Organization and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Company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Beta Bionics, Inc. (the “Company”) is a commercial-stage medical device company focused on the design, development and commercialization of solutions to improve the health and quality of life of insulin-requiring people with diabetes (PWD) through the use of adaptive closed-loop algorithms. The Company was incorporated as a Massachusetts benefit corporation in October 2015 and converted to a Delaware corporation in August 2024. The Company’s product, the iLet, was cleared by the U.S. Food and Drug Administration in May 2023 for the treatment of type 1 diabetes in adults and children six years of age and older, and the Company commenced U.S. commercialization in May 2023.</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has devoted its resources to research and development, manufacturing scale-up and commercialization of its products. The Company has funded its operations primarily through equity financings and revenue from product sales.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unaudited condensed financial statements have been prepared pursuant to the rules and regulations of the U.S. Securities and Exchange Commission applicable to interim financial information. Certain information and footnote disclosures normally included in annual financial statements prepared in accordance with generally accepted accounting principles in the United States (“GAAP”) have been condensed or omitted pursuant to such rules and regulations. Any reference in these notes to applicable guidance is meant to refer to the authoritative GAAP as found in the Accounting Standards Codification (“ASC”).</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Interim financial results are not necessarily indicative of results anticipated for the full year or any other period(s). These unaudited condensed financial statements should be read in conjunction with the audited financial statements and the notes thereto included in the Company’s Annual Report on Form 10-K for the fiscal year ended December 31, 2025 (“2025 Annual Report”).</w:t>
      </w:r>
    </w:p>
    <w:p>
      <w:pPr>
        <w:pStyle w:val="TextBody"/>
        <w:bidi w:val="0"/>
        <w:spacing w:before="360" w:after="283"/>
        <w:jc w:val="left"/>
        <w:rPr>
          <w:rFonts w:ascii="Times New Roman" w:hAnsi="Times New Roman"/>
          <w:sz w:val="20"/>
        </w:rPr>
      </w:pPr>
      <w:r>
        <w:rPr>
          <w:rFonts w:ascii="Times New Roman" w:hAnsi="Times New Roman"/>
          <w:b/>
          <w:i/>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is an emerging growth company, as defined in the JOBS Act, enacted in 2012. Under the JOBS Act, emerging growth companies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Significant estimates and assumptions reflected in these financial statements include, but are not limited to, certain judgments regarding revenue recognition, including variable consideration, inventory valuation, warranty reserve and valuation of stock-based compensation awards. The Company bases its estimates on historical experience, known trends and other market-specific or other relevant assumptions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320, </w:t>
      </w:r>
      <w:r>
        <w:rPr>
          <w:rFonts w:ascii="Times New Roman" w:hAnsi="Times New Roman"/>
          <w:i/>
          <w:color w:val="000000"/>
          <w:sz w:val="20"/>
        </w:rPr>
        <w:t>Investments – Debt Securities</w:t>
      </w:r>
      <w:r>
        <w:rPr>
          <w:rFonts w:ascii="Times New Roman" w:hAnsi="Times New Roman"/>
          <w:color w:val="000000"/>
          <w:sz w:val="20"/>
        </w:rPr>
        <w:t xml:space="preserve">, the Company classifies its short-term investments as available-for-sale securities. Available-for-sale securities are carried at fair market value with net unrealized gains and losses reported as a component of accumulated other comprehensive income in stockholders’ equity and as a component of other comprehensive loss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the statements of operations and comprehensive loss. The Company determines realized gains or losses on the sale of available-for-sale securities using the specific identification method and includes net realized gains and losses as a component of other income or expense within the statements of operations and comprehensive loss. The Company periodically evaluates its short-term investments for credit losses, considering the significance of the decline in value and the market and economy in general. The Company has not recognized any impairment losses related to its short-term investments during the three months ended March 31, 2026 and 2025. All short-term investments are classified as current based on the nature of the investments and their availability for use in current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investments include U.S. Treasury notes with maturities of 12 months or more. Where the Company has both the intent and ability to hold debt securities to maturity, these debt securities are carried at amortized cost. If a U.S. treasury note has an unrealized loss and the Company either intends to sell the security or it is more likely than not that the Company will be required to sell the security before its anticipated recovery, the Company will record an impairment charge to investment and other income (expense), net for the entire amount of the unrealized loss and adjust the amortized cost basis of the security. The Company has not recognized any impairment losses related to its long-term investments during the three months ended March 31, 2026 and 2025. All long-term investments are classified as noncurrent based on the nature of the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Concentrations of Credit Risk and of Significant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expose the Company to concentrations of credit risk primarily consist of cash and cash equivalents and short-term and long-term investments. The Company maintains its cash and cash equivalents in accounts at multiple accredited financial institutions and short-term and long-term investments in custodian accounts, in excess of federally insured limits. Additionally, the Company has established guidelines regarding investment instruments and their maturities, which are designed to maintain preservation of principal and liquidity. The Company does not believe that it is subject to unusual risk beyond the normal credit risk associated with commercial banking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exposed to concentration risk as it relates to its customers. The following table summarizes the percentages of total sales and accounts receivable, net for customers who accounted for 10% or more of the respective amounts for the periods presented:</w:t>
      </w:r>
    </w:p>
    <w:p>
      <w:pPr>
        <w:pStyle w:val="TextBody"/>
        <w:bidi w:val="0"/>
        <w:jc w:val="left"/>
        <w:rPr/>
      </w:pPr>
      <w:r>
        <w:rPr/>
        <w:t> </w:t>
      </w:r>
    </w:p>
    <w:tbl>
      <w:tblPr>
        <w:tblW w:w="6021" w:type="dxa"/>
        <w:jc w:val="left"/>
        <w:tblInd w:w="0" w:type="dxa"/>
        <w:tblLayout w:type="fixed"/>
        <w:tblCellMar>
          <w:top w:w="28" w:type="dxa"/>
          <w:left w:w="28" w:type="dxa"/>
          <w:bottom w:w="28" w:type="dxa"/>
          <w:right w:w="28" w:type="dxa"/>
        </w:tblCellMar>
      </w:tblPr>
      <w:tblGrid>
        <w:gridCol w:w="1186"/>
        <w:gridCol w:w="146"/>
        <w:gridCol w:w="1076"/>
        <w:gridCol w:w="248"/>
        <w:gridCol w:w="1076"/>
        <w:gridCol w:w="146"/>
        <w:gridCol w:w="856"/>
        <w:gridCol w:w="146"/>
        <w:gridCol w:w="114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Accounts Receivable, net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19.4%</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17.8%</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Amount related to the respective customer represented less than 10% for the period presented.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assets and liabilities are carried at fair value under GAAP. The Company performs fair value measurements in accordance with ASC 820, Fair Value Measurement. ASC 820 defines fair value as the price received to sell an asset or paid to transfer a liability in an orderly transaction between market participants at the measurement date. When determining the fair value measurements for assets and liabilities required to be recorded at their fair values, the Company considers the principal or most advantageous market in which it would transact and considers assumptions that market participants would use when pricing the assets or liabilities, such as inherent risk, transfer restrictions and risk of nonperformance.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jc w:val="left"/>
        <w:rPr/>
      </w:pPr>
      <w:r>
        <w:rPr/>
        <w:t> </w:t>
      </w:r>
    </w:p>
    <w:p>
      <w:pPr>
        <w:pStyle w:val="TextBody"/>
        <w:bidi w:val="0"/>
        <w:jc w:val="left"/>
        <w:rPr/>
      </w:pPr>
      <w:r>
        <w:rPr/>
        <w:t> </w:t>
      </w:r>
    </w:p>
    <w:tbl>
      <w:tblPr>
        <w:tblW w:w="6493" w:type="dxa"/>
        <w:jc w:val="left"/>
        <w:tblInd w:w="0" w:type="dxa"/>
        <w:tblLayout w:type="fixed"/>
        <w:tblCellMar>
          <w:top w:w="28" w:type="dxa"/>
          <w:left w:w="28" w:type="dxa"/>
          <w:bottom w:w="28" w:type="dxa"/>
          <w:right w:w="28" w:type="dxa"/>
        </w:tblCellMar>
      </w:tblPr>
      <w:tblGrid>
        <w:gridCol w:w="161"/>
        <w:gridCol w:w="1006"/>
        <w:gridCol w:w="5326"/>
      </w:tblGrid>
      <w:tr>
        <w:trPr/>
        <w:tc>
          <w:tcPr>
            <w:tcW w:w="1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1 — </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Quoted prices in active markets for identical assets or liabilities.</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723"/>
        <w:gridCol w:w="9321"/>
      </w:tblGrid>
      <w:tr>
        <w:trPr/>
        <w:tc>
          <w:tcPr>
            <w:tcW w:w="1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93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2 —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cash equivalents, restricted cash, short-term investments and long-term investments are carried at fair value, determined according to the fair value hierarchy described above (see Note 4). The fair values of the Company’s accounts receivable, accounts payable and accrued expenses approximate their carrying values due to the short-term nature of these assets and liabilities.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842, </w:t>
      </w:r>
      <w:r>
        <w:rPr>
          <w:rFonts w:ascii="Times New Roman" w:hAnsi="Times New Roman"/>
          <w:i/>
          <w:color w:val="000000"/>
          <w:sz w:val="20"/>
        </w:rPr>
        <w:t>Leases</w:t>
      </w:r>
      <w:r>
        <w:rPr>
          <w:rFonts w:ascii="Times New Roman" w:hAnsi="Times New Roman"/>
          <w:color w:val="000000"/>
          <w:sz w:val="20"/>
        </w:rPr>
        <w:t>, leases include all agreements in which the Company obtains control of an identified asset. A lease liability is recognized at commencement date based on the present value of the lease payments over the lease term. When available, the Company uses the rate implicit in the lease to discount lease payments to present value; otherwise, the Company estimates the incremental borrowing rate to discount the lease payments based on information available at lease commencement (see Note 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leases have initial lease terms of approximately one to six years, with some including options to extend for up to five additional years. If a lease includes options to extend the lease term, the Company only includes the periods it is reasonably certain to exercise as of the lease commencement date. The decision to exercise lease renewal options is at the Company’s sole discretion. Variable lease costs, including maintenance and utilities, real estate taxes, and insurance are expensed as incurred and excluded from the measurement of the lease liability. Lease agreements that include lease and non-lease components are accounted for as a single lease component. Leases with an initial term of 12 months or less are expensed and not recorded on the balance sheet. The Company’s leases provide for fixed rental payments with annual rent escalations. The Company does not have any leases that are classified as financing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Chief Executive Officer is the Company’s CODM. The CODM reviews financial information presented on a total company basis for purposes of making operating decisions, allocating resources, and evaluating financial performance. As such, the Company has determined that it operates as one operating segment. The measure of segment assets is presented as total assets in the balance sheets. The Company has concluded that gross profit and net income (loss) are the primary measures of segment profit or loss used by the CODM. The CODM assesses performance for the Company, monitors budget versus actual results, and determines how to allocate resources based on net income (loss) as reported in the statements of operations and comprehensive loss. There are no other expense categories regularly provided to the CODM that are not already included in the primary financial statements herein. During the three months ended March 31, 2026 and 2025, the Company did not generate any international revenues and as of March 31, 2026 and December 31, 2025, the Company did not have a material amount of assets located outside of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is generated primarily from sales of the iLet and its associated single-use products, such as cartridges for insulin storage and delivery, and infusion sets that connect the iLet to a user’s body. These products are distributed through a network of distributors and pharmacies, which then resell the products to insulin-requiring PWD. In accordance with ASC 606, </w:t>
      </w:r>
      <w:r>
        <w:rPr>
          <w:rFonts w:ascii="Times New Roman" w:hAnsi="Times New Roman"/>
          <w:i/>
          <w:color w:val="000000"/>
          <w:sz w:val="20"/>
        </w:rPr>
        <w:t>Revenue from Contracts with Customers</w:t>
      </w:r>
      <w:r>
        <w:rPr>
          <w:rFonts w:ascii="Times New Roman" w:hAnsi="Times New Roman"/>
          <w:color w:val="000000"/>
          <w:sz w:val="20"/>
        </w:rPr>
        <w:t>, the Company recognizes revenue when it transfers control of the promised goods or services to its distributor and pharmacy customers in an amount that reflects the consideration to which the Company expects to be entitled in exchange for those goods or services, net of estimated returns and estimated variable consideration adjustments, including rebates, patient assistance and chargebacks.</w:t>
      </w:r>
    </w:p>
    <w:p>
      <w:pPr>
        <w:pStyle w:val="TextBody"/>
        <w:bidi w:val="0"/>
        <w:spacing w:before="120" w:after="283"/>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 Recognition for Arrangements with Multiple Performance Obligations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individual deliverables in its contracts with customers as separate performance obligations. The iLet and single-use products that are used together with the iLet are deemed performance obligations that are satisfied at a point in time when the customer obtains control of the promised good, which typically is upon shipment. The Company has determined that the user’s ability to access the mobile application and receive unspecified software updates through the mobile application are considered distinct performance obligations that are satisfied over time, as access and support are provided throughout the typical four-year warranty period of the iLet. Accordingly, revenue related to access the mobile application and unspecified software updates are deferred and recognized ratably over a four-year period. Given that access to the mobile application and unspecified software updates follow the same pattern of transfer to the customer and are provided over the same four-year period, the Company recognizes revenue for these performance obligations as if they were a single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is determined based on the consideration expected to be received, based on the stated value in contractual arrangements. The Company allocates the consideration to the individual performance obligations based on the estimated relative standalone selling price of the performance obligations and recognizes the consideration based on when the performance obligation is satisfied, considering whether or not this occurs at a point in time or over time. Where there is no observable standalone selling price, the Company estimates standalone selling price by applying the expected cost plus a margin approach.</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Variable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variable consideration that is included in the transaction price is included in revenue only to the extent that it is probable that a significant reversal in the amount of the cumulative revenue recognized will not occur in a future period. The Company estimates reductions to revenues for rebates paid to pharmacy benefit managers. Rebates are based on contractual arrangements, which may vary by customer. The estimates are based on products sold, historical experience, trends, specific known market events and, as available, channel inventory data. Provisions for rebates and patient assistance are accounted for as a reduction of sales when revenue is recognized and are included within accrued expenses and other current liabilities within the balance sheets. Provisions for chargebacks are accounted for as a reduction of sales when revenue is recognized and are included as a reduction of accounts receivable, net within the balance sheets, as the right of offset exists. If the actual amounts of consideration that the Company receives differ from estimates, the Company adjusts these estimates, which affects reported revenue, in the period that such variances become known or at the end of each reporting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Returns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a 90-day right of return from the date of shipment of its iLet from one of its authorized distributors, provided a physician’s confirmation of the good faith medical reason for the return is received. Estimated allowances for sales returns are based on historical returned quantities as compared to iLet shipments in those same periods of return, adjusted for known or expected changes in the marketplace when appropriate. Actual product returns have not differed materially from estimated amounts recorded in the accompanying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Contract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an asset for incremental costs of obtaining a contract with a customer if it expects to recover those costs. The Company has elected the practical expedient to expense the costs as they are incurred, within sales and marketing expenses, since the amortization period is less than one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Warranty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a four-year warranty on the iLet to end-users to replace any iLets that do not function as intended in accordance with the product specifications. Estimated warranty costs are recorded at the time of shipment. Warranty costs are estimated primarily based on the current expected product replacement cost and expected replacement rates which utilize management’s understanding of the hardware and factor in a patient attrition rate to reserve for only the active patient population using the pump. Although the Company’s history of product sales is limited, management also utilizes historical warranty cost data to reevaluate the estimated warranty obligation on a regular basis. Product returns and warranty replacements to date have been consistent with amounts accrued. Warranty expense is recorded as a component of cost of sales in the statements of operations and comprehensive loss.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Reconciliations of the changes in the Company’s product warranty liability for the three months ended March 31, 2026 and 2025 were as follows:</w:t>
      </w:r>
    </w:p>
    <w:p>
      <w:pPr>
        <w:pStyle w:val="TextBody"/>
        <w:bidi w:val="0"/>
        <w:spacing w:before="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21" w:type="dxa"/>
        <w:jc w:val="left"/>
        <w:tblInd w:w="0" w:type="dxa"/>
        <w:tblLayout w:type="fixed"/>
        <w:tblCellMar>
          <w:top w:w="28" w:type="dxa"/>
          <w:left w:w="28" w:type="dxa"/>
          <w:bottom w:w="28" w:type="dxa"/>
          <w:right w:w="28" w:type="dxa"/>
        </w:tblCellMar>
      </w:tblPr>
      <w:tblGrid>
        <w:gridCol w:w="4066"/>
        <w:gridCol w:w="146"/>
        <w:gridCol w:w="283"/>
        <w:gridCol w:w="767"/>
        <w:gridCol w:w="223"/>
        <w:gridCol w:w="196"/>
        <w:gridCol w:w="283"/>
        <w:gridCol w:w="64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liability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fulfillment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liability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March 31, 2026 and December 31, 2025, total product warranty reserves were included in the following balance sheet accounts:</w:t>
      </w:r>
    </w:p>
    <w:p>
      <w:pPr>
        <w:pStyle w:val="TextBody"/>
        <w:bidi w:val="0"/>
        <w:spacing w:before="120" w:after="283"/>
        <w:jc w:val="left"/>
        <w:rPr/>
      </w:pPr>
      <w:r>
        <w:rPr/>
        <w:t> </w:t>
      </w:r>
    </w:p>
    <w:tbl>
      <w:tblPr>
        <w:tblW w:w="6405" w:type="dxa"/>
        <w:jc w:val="left"/>
        <w:tblInd w:w="0" w:type="dxa"/>
        <w:tblLayout w:type="fixed"/>
        <w:tblCellMar>
          <w:top w:w="28" w:type="dxa"/>
          <w:left w:w="28" w:type="dxa"/>
          <w:bottom w:w="28" w:type="dxa"/>
          <w:right w:w="28" w:type="dxa"/>
        </w:tblCellMar>
      </w:tblPr>
      <w:tblGrid>
        <w:gridCol w:w="3826"/>
        <w:gridCol w:w="146"/>
        <w:gridCol w:w="230"/>
        <w:gridCol w:w="625"/>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Warranty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net loss attributable to common stockholders by the weighted-average number of shares of common stock outstanding during the period. Diluted net loss per share is computed by giving effect to all potentially dilutive securities outstanding during the period, unless their effect is anti-dilutive. Potentially dilutive securities include stock options, restricted stock units and shares issuable under the Company’s employee stock purchase plan (in common stock equivalent shares). The amounts presented below represent potentially dilutive securities outstanding during the period, including both vested and unvested awards, that were excluded from the calculation of diluted net loss per share as their effect would have been anti-dilutive.</w:t>
      </w:r>
    </w:p>
    <w:p>
      <w:pPr>
        <w:pStyle w:val="TextBody"/>
        <w:bidi w:val="0"/>
        <w:spacing w:before="40" w:after="283"/>
        <w:jc w:val="left"/>
        <w:rPr/>
      </w:pPr>
      <w:r>
        <w:rPr/>
        <w:t> </w:t>
      </w:r>
    </w:p>
    <w:tbl>
      <w:tblPr>
        <w:tblW w:w="6434" w:type="dxa"/>
        <w:jc w:val="left"/>
        <w:tblInd w:w="0" w:type="dxa"/>
        <w:tblLayout w:type="fixed"/>
        <w:tblCellMar>
          <w:top w:w="28" w:type="dxa"/>
          <w:left w:w="28" w:type="dxa"/>
          <w:bottom w:w="28" w:type="dxa"/>
          <w:right w:w="28" w:type="dxa"/>
        </w:tblCellMar>
      </w:tblPr>
      <w:tblGrid>
        <w:gridCol w:w="3451"/>
        <w:gridCol w:w="146"/>
        <w:gridCol w:w="146"/>
        <w:gridCol w:w="931"/>
        <w:gridCol w:w="146"/>
        <w:gridCol w:w="146"/>
        <w:gridCol w:w="146"/>
        <w:gridCol w:w="93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7,282,494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8,219,557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and 2025, there was no difference in the weighted average number of shares used to calculate basic and diluted net loss per share due to the Company’s net loss position in each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2025, FASB issued ASU 2025-05, </w:t>
      </w:r>
      <w:r>
        <w:rPr>
          <w:rFonts w:ascii="Times New Roman" w:hAnsi="Times New Roman"/>
          <w:i/>
          <w:color w:val="000000"/>
          <w:sz w:val="20"/>
        </w:rPr>
        <w:t>Credit Losses (Topic 326) – Measurement of Credit Losses for Accounts Receivable and Contract Assets</w:t>
      </w:r>
      <w:r>
        <w:rPr>
          <w:rFonts w:ascii="Times New Roman" w:hAnsi="Times New Roman"/>
          <w:color w:val="000000"/>
          <w:sz w:val="20"/>
        </w:rPr>
        <w:t>, which provides a practical expedient to assume that the current conditions as of the balance sheet date will remain unchanged for the remaining life of the asset when developing a reasonable and supportable forecast as part of estimating expected credit losses on current accounts receivable and current contract assets arising from transactions accounted for under ASC 606. The Company adopted ASU 2025-05 on January 1, 2026. The adoption of this guidance did not have a material impact on the Company’s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 (ASU 2024-03)</w:t>
      </w:r>
      <w:r>
        <w:rPr>
          <w:rFonts w:ascii="Times New Roman" w:hAnsi="Times New Roman"/>
          <w:color w:val="000000"/>
          <w:sz w:val="20"/>
        </w:rPr>
        <w:t xml:space="preserve">, and in January 2025, the FASB issued ASU 2025-01, </w:t>
      </w:r>
      <w:r>
        <w:rPr>
          <w:rFonts w:ascii="Times New Roman" w:hAnsi="Times New Roman"/>
          <w:i/>
          <w:color w:val="000000"/>
          <w:sz w:val="20"/>
        </w:rPr>
        <w:t>Income Statement - Reporting Comprehensive Income - Expense Disaggregation Disclosures (Subtopic 220-40): Clarifying the Effective Date</w:t>
      </w:r>
      <w:r>
        <w:rPr>
          <w:rFonts w:ascii="Times New Roman" w:hAnsi="Times New Roman"/>
          <w:color w:val="000000"/>
          <w:sz w:val="20"/>
        </w:rPr>
        <w:t xml:space="preserv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The Company is currently evaluating the impact that this guidance may have on its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3.</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net sales by product category and reimbursement channel, which the Company believes provides a meaningful depiction of how the nature, timing and uncertainty of net sales are affected by economic factors.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During the three months ended March 31, 2026 and 2025, the Company’s revenues were predominantly generated from sales of the iLet. The iLet requires the use of separately purchased single-use products which include cartridges for storing and delivering insulin, and infusion sets that connect the iLet to the user’s body. These single-use products generate recurring revenue for the Company, as these are typically replaced by the end-user every 2-3 days or as directed by a healthcare provider.</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Company’s customers are distributors and pharmacies who sell these products to insulin-requiring PWD, through the durable medical equipment (“DME”) and the pharmacy benefit plan (“PBP”) reimbursement channels, which entail differing payment outlays. For the three months ended March 31, 2026 and 2025, the majority of the Company’s sales were through the DME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disaggregated revenues:</w:t>
      </w:r>
    </w:p>
    <w:p>
      <w:pPr>
        <w:pStyle w:val="TextBody"/>
        <w:bidi w:val="0"/>
        <w:spacing w:before="40" w:after="283"/>
        <w:jc w:val="left"/>
        <w:rPr/>
      </w:pPr>
      <w:r>
        <w:rPr/>
        <w:t> </w:t>
      </w:r>
    </w:p>
    <w:tbl>
      <w:tblPr>
        <w:tblW w:w="4861" w:type="dxa"/>
        <w:jc w:val="left"/>
        <w:tblInd w:w="0" w:type="dxa"/>
        <w:tblLayout w:type="fixed"/>
        <w:tblCellMar>
          <w:top w:w="28" w:type="dxa"/>
          <w:left w:w="28" w:type="dxa"/>
          <w:bottom w:w="28" w:type="dxa"/>
          <w:right w:w="28" w:type="dxa"/>
        </w:tblCellMar>
      </w:tblPr>
      <w:tblGrid>
        <w:gridCol w:w="1926"/>
        <w:gridCol w:w="146"/>
        <w:gridCol w:w="245"/>
        <w:gridCol w:w="785"/>
        <w:gridCol w:w="169"/>
        <w:gridCol w:w="169"/>
        <w:gridCol w:w="245"/>
        <w:gridCol w:w="785"/>
        <w:gridCol w:w="391"/>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DME channel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iLet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Single-use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DME channel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PBP channel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iLet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Single-use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PBP channel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iLet includes the over-time recognition related to software updates and mobile app access.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Company recognizes revenue at a point in time once control has transferred to the customer, as well as over time for performance obligation to provide ongoing services such as unspecified software updates. Revenue recognized during the three months ended March 31, 2026 that was included in the deferred revenue balance as of December 31, 2025 was approximately $0.4 million.</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At March 31, 2026 and December 31, 2025 , $5.1 million and $4.9 million, respectively, was recorded as deferred revenue on the accompanying balance sheets for the portion of the transaction price allocated to performance obligations that were not yet satisfied. At March 31, 2026 and December 31, 2025, of the performance obligations not yet satisfied, $1.7 million and $1.6 million </w:t>
      </w:r>
      <w:r>
        <w:rPr>
          <w:rFonts w:ascii="Times New Roman" w:hAnsi="Times New Roman"/>
          <w:color w:val="000000"/>
          <w:sz w:val="20"/>
        </w:rPr>
        <w:t>for each period</w:t>
      </w:r>
      <w:r>
        <w:rPr>
          <w:rFonts w:ascii="Times New Roman" w:hAnsi="Times New Roman"/>
          <w:color w:val="231F20"/>
          <w:sz w:val="20"/>
        </w:rPr>
        <w:t>, is expected to be recognized as revenue in the next 12 months, with the remainder expected to be recognized over the next 36 months. At March 31, 2026 and December 31, 2025, the $5.1 million and $4.9 million, respectively, relate to amounts deferred associated with the unspecified software updates promised to users and the users' access to the mobile application.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4.</w:t>
      </w:r>
    </w:p>
    <w:p>
      <w:pPr>
        <w:pStyle w:val="TextBody"/>
        <w:bidi w:val="0"/>
        <w:spacing w:before="360" w:after="283"/>
        <w:jc w:val="left"/>
        <w:rPr>
          <w:rFonts w:ascii="Times New Roman" w:hAnsi="Times New Roman"/>
          <w:sz w:val="20"/>
        </w:rPr>
      </w:pPr>
      <w:r>
        <w:rPr>
          <w:rFonts w:ascii="Times New Roman" w:hAnsi="Times New Roman"/>
          <w:b/>
          <w:color w:val="231F20"/>
          <w:sz w:val="20"/>
        </w:rPr>
        <w:t>Financial Instruments and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tables present the Company’s fair value hierarchy for its assets and liabilities that are measured at fair value on a recurring basis:</w:t>
      </w:r>
    </w:p>
    <w:p>
      <w:pPr>
        <w:pStyle w:val="TextBody"/>
        <w:bidi w:val="0"/>
        <w:jc w:val="left"/>
        <w:rPr/>
      </w:pPr>
      <w:r>
        <w:rPr/>
        <w:t> </w:t>
      </w:r>
    </w:p>
    <w:tbl>
      <w:tblPr>
        <w:tblW w:w="6853" w:type="dxa"/>
        <w:jc w:val="left"/>
        <w:tblInd w:w="0" w:type="dxa"/>
        <w:tblLayout w:type="fixed"/>
        <w:tblCellMar>
          <w:top w:w="28" w:type="dxa"/>
          <w:left w:w="28" w:type="dxa"/>
          <w:bottom w:w="28" w:type="dxa"/>
          <w:right w:w="28" w:type="dxa"/>
        </w:tblCellMar>
      </w:tblPr>
      <w:tblGrid>
        <w:gridCol w:w="1996"/>
        <w:gridCol w:w="146"/>
        <w:gridCol w:w="211"/>
        <w:gridCol w:w="781"/>
        <w:gridCol w:w="146"/>
        <w:gridCol w:w="146"/>
        <w:gridCol w:w="239"/>
        <w:gridCol w:w="391"/>
        <w:gridCol w:w="146"/>
        <w:gridCol w:w="146"/>
        <w:gridCol w:w="239"/>
        <w:gridCol w:w="391"/>
        <w:gridCol w:w="146"/>
        <w:gridCol w:w="146"/>
        <w:gridCol w:w="211"/>
        <w:gridCol w:w="781"/>
        <w:gridCol w:w="5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53" w:type="dxa"/>
        <w:jc w:val="left"/>
        <w:tblInd w:w="0" w:type="dxa"/>
        <w:tblLayout w:type="fixed"/>
        <w:tblCellMar>
          <w:top w:w="28" w:type="dxa"/>
          <w:left w:w="28" w:type="dxa"/>
          <w:bottom w:w="28" w:type="dxa"/>
          <w:right w:w="28" w:type="dxa"/>
        </w:tblCellMar>
      </w:tblPr>
      <w:tblGrid>
        <w:gridCol w:w="1996"/>
        <w:gridCol w:w="146"/>
        <w:gridCol w:w="211"/>
        <w:gridCol w:w="781"/>
        <w:gridCol w:w="146"/>
        <w:gridCol w:w="146"/>
        <w:gridCol w:w="239"/>
        <w:gridCol w:w="391"/>
        <w:gridCol w:w="146"/>
        <w:gridCol w:w="146"/>
        <w:gridCol w:w="239"/>
        <w:gridCol w:w="391"/>
        <w:gridCol w:w="146"/>
        <w:gridCol w:w="146"/>
        <w:gridCol w:w="211"/>
        <w:gridCol w:w="781"/>
        <w:gridCol w:w="5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259,329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Money market funds and U.S. Treasury bills were valued by the Company based on quoted market prices, which represent a Level 1 measurement within the fair value hierarchy. There were no changes to the valuation methods during the three months ended March 31, 2026 and 2025. The Company evaluates transfers between levels at the end of each reporting period. There were no transfers between Level 1 or Level 2 during the three months ended March 31, 2026 and 2025.</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initial public offering ("IPO") in January 2025, all outstanding warrant liabilities were remeasured and subsequently net exercised and reclassified to stockholders’ equity. No warrant liabilities were outstanding as of March 31, 2026 or December 31,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pPr>
      <w:r>
        <w:rPr>
          <w:rFonts w:ascii="Times New Roman" w:hAnsi="Times New Roman"/>
          <w:b/>
          <w:color w:val="000000"/>
          <w:sz w:val="20"/>
        </w:rPr>
        <w:t>Short-Term</w:t>
      </w:r>
      <w:r>
        <w:rPr>
          <w:color w:val="000000"/>
        </w:rPr>
        <w:t xml:space="preserve"> </w:t>
      </w:r>
      <w:r>
        <w:rPr>
          <w:rFonts w:ascii="Times New Roman" w:hAnsi="Times New Roman"/>
          <w:b/>
          <w:color w:val="000000"/>
          <w:sz w:val="20"/>
        </w:rPr>
        <w:t>and Long-Term Investments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represents a summary of the estimated fair value of short-term and long-term investments at March 31, 2026 and December 31, 2025:</w:t>
      </w:r>
    </w:p>
    <w:p>
      <w:pPr>
        <w:pStyle w:val="TextBody"/>
        <w:bidi w:val="0"/>
        <w:spacing w:before="40" w:after="283"/>
        <w:jc w:val="left"/>
        <w:rPr/>
      </w:pPr>
      <w:r>
        <w:rPr/>
        <w:t> </w:t>
      </w:r>
    </w:p>
    <w:tbl>
      <w:tblPr>
        <w:tblW w:w="7185" w:type="dxa"/>
        <w:jc w:val="left"/>
        <w:tblInd w:w="0" w:type="dxa"/>
        <w:tblLayout w:type="fixed"/>
        <w:tblCellMar>
          <w:top w:w="28" w:type="dxa"/>
          <w:left w:w="28" w:type="dxa"/>
          <w:bottom w:w="28" w:type="dxa"/>
          <w:right w:w="28" w:type="dxa"/>
        </w:tblCellMar>
      </w:tblPr>
      <w:tblGrid>
        <w:gridCol w:w="1996"/>
        <w:gridCol w:w="146"/>
        <w:gridCol w:w="211"/>
        <w:gridCol w:w="781"/>
        <w:gridCol w:w="146"/>
        <w:gridCol w:w="146"/>
        <w:gridCol w:w="335"/>
        <w:gridCol w:w="551"/>
        <w:gridCol w:w="146"/>
        <w:gridCol w:w="146"/>
        <w:gridCol w:w="270"/>
        <w:gridCol w:w="616"/>
        <w:gridCol w:w="166"/>
        <w:gridCol w:w="146"/>
        <w:gridCol w:w="211"/>
        <w:gridCol w:w="781"/>
        <w:gridCol w:w="3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tbl>
      <w:tblPr>
        <w:tblW w:w="7165" w:type="dxa"/>
        <w:jc w:val="left"/>
        <w:tblInd w:w="0" w:type="dxa"/>
        <w:tblLayout w:type="fixed"/>
        <w:tblCellMar>
          <w:top w:w="28" w:type="dxa"/>
          <w:left w:w="28" w:type="dxa"/>
          <w:bottom w:w="28" w:type="dxa"/>
          <w:right w:w="28" w:type="dxa"/>
        </w:tblCellMar>
      </w:tblPr>
      <w:tblGrid>
        <w:gridCol w:w="1996"/>
        <w:gridCol w:w="146"/>
        <w:gridCol w:w="211"/>
        <w:gridCol w:w="781"/>
        <w:gridCol w:w="146"/>
        <w:gridCol w:w="146"/>
        <w:gridCol w:w="295"/>
        <w:gridCol w:w="591"/>
        <w:gridCol w:w="146"/>
        <w:gridCol w:w="146"/>
        <w:gridCol w:w="335"/>
        <w:gridCol w:w="551"/>
        <w:gridCol w:w="146"/>
        <w:gridCol w:w="146"/>
        <w:gridCol w:w="211"/>
        <w:gridCol w:w="781"/>
        <w:gridCol w:w="3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represents the contractual maturities of available-for-sale debt securities as of March 31, 2026:</w:t>
      </w:r>
    </w:p>
    <w:p>
      <w:pPr>
        <w:pStyle w:val="TextBody"/>
        <w:bidi w:val="0"/>
        <w:jc w:val="left"/>
        <w:rPr/>
      </w:pPr>
      <w:r>
        <w:rPr/>
        <w:t> </w:t>
      </w:r>
    </w:p>
    <w:tbl>
      <w:tblPr>
        <w:tblW w:w="7313"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28"/>
        <w:gridCol w:w="732"/>
        <w:gridCol w:w="146"/>
        <w:gridCol w:w="146"/>
        <w:gridCol w:w="483"/>
        <w:gridCol w:w="792"/>
        <w:gridCol w:w="146"/>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to Maturity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Within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 to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consisted of the following:</w:t>
      </w:r>
    </w:p>
    <w:p>
      <w:pPr>
        <w:pStyle w:val="TextBody"/>
        <w:bidi w:val="0"/>
        <w:spacing w:before="40" w:after="283"/>
        <w:jc w:val="left"/>
        <w:rPr/>
      </w:pPr>
      <w:r>
        <w:rPr/>
        <w:t> </w:t>
      </w:r>
    </w:p>
    <w:tbl>
      <w:tblPr>
        <w:tblW w:w="5367"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60"/>
        <w:gridCol w:w="835"/>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231F20"/>
          <w:sz w:val="20"/>
        </w:rPr>
      </w:pPr>
      <w:r>
        <w:rPr>
          <w:rFonts w:ascii="Times New Roman" w:hAnsi="Times New Roman"/>
          <w:color w:val="231F20"/>
          <w:sz w:val="20"/>
        </w:rPr>
        <w:t>Accounts receivable are stated at the amount expected to be collected. The allowance for credit losses reflects expected losses on accounts receivable based primarily on historical experience and customer credit quality. The allowance for credit losses and related write-offs were not material for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consisted of the following:</w:t>
      </w:r>
    </w:p>
    <w:p>
      <w:pPr>
        <w:pStyle w:val="TextBody"/>
        <w:bidi w:val="0"/>
        <w:spacing w:before="40" w:after="283"/>
        <w:jc w:val="both"/>
        <w:rPr/>
      </w:pPr>
      <w:r>
        <w:rPr/>
        <w:t> </w:t>
      </w:r>
    </w:p>
    <w:tbl>
      <w:tblPr>
        <w:tblW w:w="4527" w:type="dxa"/>
        <w:jc w:val="left"/>
        <w:tblInd w:w="0" w:type="dxa"/>
        <w:tblLayout w:type="fixed"/>
        <w:tblCellMar>
          <w:top w:w="28" w:type="dxa"/>
          <w:left w:w="28" w:type="dxa"/>
          <w:bottom w:w="28" w:type="dxa"/>
          <w:right w:w="28" w:type="dxa"/>
        </w:tblCellMar>
      </w:tblPr>
      <w:tblGrid>
        <w:gridCol w:w="1716"/>
        <w:gridCol w:w="146"/>
        <w:gridCol w:w="211"/>
        <w:gridCol w:w="676"/>
        <w:gridCol w:w="146"/>
        <w:gridCol w:w="146"/>
        <w:gridCol w:w="260"/>
        <w:gridCol w:w="835"/>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8.</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Prepaid Expenses and Other Current Assets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Prepaid expenses and other current assets consisted of the following:</w:t>
      </w:r>
    </w:p>
    <w:p>
      <w:pPr>
        <w:pStyle w:val="TextBody"/>
        <w:bidi w:val="0"/>
        <w:spacing w:before="40" w:after="283"/>
        <w:jc w:val="both"/>
        <w:rPr/>
      </w:pPr>
      <w:r>
        <w:rPr/>
        <w:t> </w:t>
      </w:r>
    </w:p>
    <w:tbl>
      <w:tblPr>
        <w:tblW w:w="6620" w:type="dxa"/>
        <w:jc w:val="left"/>
        <w:tblInd w:w="0" w:type="dxa"/>
        <w:tblLayout w:type="fixed"/>
        <w:tblCellMar>
          <w:top w:w="28" w:type="dxa"/>
          <w:left w:w="28" w:type="dxa"/>
          <w:bottom w:w="28" w:type="dxa"/>
          <w:right w:w="28" w:type="dxa"/>
        </w:tblCellMar>
      </w:tblPr>
      <w:tblGrid>
        <w:gridCol w:w="3841"/>
        <w:gridCol w:w="146"/>
        <w:gridCol w:w="230"/>
        <w:gridCol w:w="625"/>
        <w:gridCol w:w="146"/>
        <w:gridCol w:w="146"/>
        <w:gridCol w:w="294"/>
        <w:gridCol w:w="801"/>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w:t>
      </w:r>
    </w:p>
    <w:p>
      <w:pPr>
        <w:pStyle w:val="TextBody"/>
        <w:bidi w:val="0"/>
        <w:jc w:val="both"/>
        <w:rPr/>
      </w:pPr>
      <w:r>
        <w:rPr/>
        <w:t> </w:t>
      </w:r>
    </w:p>
    <w:tbl>
      <w:tblPr>
        <w:tblW w:w="7007" w:type="dxa"/>
        <w:jc w:val="left"/>
        <w:tblInd w:w="0" w:type="dxa"/>
        <w:tblLayout w:type="fixed"/>
        <w:tblCellMar>
          <w:top w:w="28" w:type="dxa"/>
          <w:left w:w="28" w:type="dxa"/>
          <w:bottom w:w="28" w:type="dxa"/>
          <w:right w:w="28" w:type="dxa"/>
        </w:tblCellMar>
      </w:tblPr>
      <w:tblGrid>
        <w:gridCol w:w="4156"/>
        <w:gridCol w:w="146"/>
        <w:gridCol w:w="211"/>
        <w:gridCol w:w="676"/>
        <w:gridCol w:w="166"/>
        <w:gridCol w:w="146"/>
        <w:gridCol w:w="260"/>
        <w:gridCol w:w="835"/>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Depreciation expense was $0.6 million and </w:t>
      </w:r>
      <w:r>
        <w:rPr>
          <w:rFonts w:ascii="Times New Roman" w:hAnsi="Times New Roman"/>
          <w:color w:val="231F20"/>
          <w:sz w:val="20"/>
        </w:rPr>
        <w:t xml:space="preserve">$0.3 million </w:t>
      </w:r>
      <w:r>
        <w:rPr>
          <w:rFonts w:ascii="Times New Roman" w:hAnsi="Times New Roman"/>
          <w:color w:val="000000"/>
          <w:sz w:val="20"/>
        </w:rPr>
        <w:t>for the three months ended March 31, 2026 and 2025</w:t>
      </w:r>
      <w:r>
        <w:rPr>
          <w:rFonts w:ascii="Times New Roman" w:hAnsi="Times New Roman"/>
          <w:color w:val="231F20"/>
          <w:sz w:val="20"/>
        </w:rPr>
        <w:t>, respectively</w:t>
      </w:r>
      <w:r>
        <w:rPr>
          <w:rFonts w:ascii="Times New Roman" w:hAnsi="Times New Roman"/>
          <w:color w:val="000000"/>
          <w:sz w:val="20"/>
        </w:rPr>
        <w:t>.</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10.</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Accrued Expenses and Other Current Liabilities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Accrued expenses and other current liabilities consisted of the following:</w:t>
      </w:r>
    </w:p>
    <w:p>
      <w:pPr>
        <w:pStyle w:val="TextBody"/>
        <w:bidi w:val="0"/>
        <w:spacing w:before="40" w:after="283"/>
        <w:jc w:val="left"/>
        <w:rPr/>
      </w:pPr>
      <w:r>
        <w:rPr/>
        <w:t> </w:t>
      </w:r>
    </w:p>
    <w:tbl>
      <w:tblPr>
        <w:tblW w:w="6437" w:type="dxa"/>
        <w:jc w:val="left"/>
        <w:tblInd w:w="0" w:type="dxa"/>
        <w:tblLayout w:type="fixed"/>
        <w:tblCellMar>
          <w:top w:w="28" w:type="dxa"/>
          <w:left w:w="28" w:type="dxa"/>
          <w:bottom w:w="28" w:type="dxa"/>
          <w:right w:w="28" w:type="dxa"/>
        </w:tblCellMar>
      </w:tblPr>
      <w:tblGrid>
        <w:gridCol w:w="3826"/>
        <w:gridCol w:w="146"/>
        <w:gridCol w:w="211"/>
        <w:gridCol w:w="676"/>
        <w:gridCol w:w="146"/>
        <w:gridCol w:w="146"/>
        <w:gridCol w:w="260"/>
        <w:gridCol w:w="83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returns, rebates and patient assistance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in transit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11.</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Stock-Based Compensation</w:t>
      </w:r>
    </w:p>
    <w:p>
      <w:pPr>
        <w:pStyle w:val="TextBody"/>
        <w:bidi w:val="0"/>
        <w:spacing w:before="120" w:after="283"/>
        <w:jc w:val="left"/>
        <w:rPr>
          <w:rFonts w:ascii="Times New Roman" w:hAnsi="Times New Roman"/>
          <w:sz w:val="20"/>
        </w:rPr>
      </w:pPr>
      <w:r>
        <w:rPr>
          <w:rFonts w:ascii="Times New Roman" w:hAnsi="Times New Roman"/>
          <w:b/>
          <w:i/>
          <w:color w:val="231F20"/>
          <w:sz w:val="20"/>
        </w:rPr>
        <w:t>2016 Stock Incentive Plan</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2016 Stock Incentive Plan, as amended (the “2016 Plan”), previously provided for the grant of stock options and restricted stock awards to employees, officers, directors and consultants. Following the adoption of the 2025 Equity Incentive Plan in connection with the Company’s IPO in January 2025, no further awards are granted under the 2016 Plan. Outstanding awards previously granted under the 2016 Plan continue to be governed by their original terms.</w:t>
      </w:r>
    </w:p>
    <w:p>
      <w:pPr>
        <w:pStyle w:val="TextBody"/>
        <w:bidi w:val="0"/>
        <w:spacing w:before="360" w:after="283"/>
        <w:jc w:val="left"/>
        <w:rPr>
          <w:rFonts w:ascii="Times New Roman" w:hAnsi="Times New Roman"/>
          <w:sz w:val="20"/>
        </w:rPr>
      </w:pPr>
      <w:r>
        <w:rPr>
          <w:rFonts w:ascii="Times New Roman" w:hAnsi="Times New Roman"/>
          <w:b/>
          <w:i/>
          <w:color w:val="231F20"/>
          <w:sz w:val="20"/>
        </w:rPr>
        <w:t>2025 Equity Incentive Plan</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Company maintains the 2025 Equity Incentive Plan (the “2025 Plan”), which became effective in January 2025. The 2025 Plan provides for the grant of incentive stock options, restricted stock units and other equity-based awards to employees, directors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consultants. The 2025 Plan replaced the 2016 Plan, and no further awards are granted under the 2016 Plan. A total of 12,016,744 shares of common stock were initially reserved for issuance under the 2025 Plan. As of March 31, 2026, 14,234,787 shares of common stock were reserved for issuance under the 2025 Plan.</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Stock Options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presents, on a weighted-average basis, the assumptions used in the Black-Scholes option pricing model to determine the grant-date fair value of stock options granted:</w:t>
      </w:r>
    </w:p>
    <w:p>
      <w:pPr>
        <w:pStyle w:val="TextBody"/>
        <w:bidi w:val="0"/>
        <w:spacing w:before="40" w:after="283"/>
        <w:jc w:val="left"/>
        <w:rPr/>
      </w:pPr>
      <w:r>
        <w:rPr/>
        <w:t> </w:t>
      </w:r>
    </w:p>
    <w:tbl>
      <w:tblPr>
        <w:tblW w:w="6881" w:type="dxa"/>
        <w:jc w:val="left"/>
        <w:tblInd w:w="0" w:type="dxa"/>
        <w:tblLayout w:type="fixed"/>
        <w:tblCellMar>
          <w:top w:w="28" w:type="dxa"/>
          <w:left w:w="28" w:type="dxa"/>
          <w:bottom w:w="28" w:type="dxa"/>
          <w:right w:w="28" w:type="dxa"/>
        </w:tblCellMar>
      </w:tblPr>
      <w:tblGrid>
        <w:gridCol w:w="4021"/>
        <w:gridCol w:w="146"/>
        <w:gridCol w:w="255"/>
        <w:gridCol w:w="692"/>
        <w:gridCol w:w="328"/>
        <w:gridCol w:w="176"/>
        <w:gridCol w:w="255"/>
        <w:gridCol w:w="692"/>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summarizes stock option activity for the three months ended March 31, 2026:</w:t>
      </w:r>
    </w:p>
    <w:p>
      <w:pPr>
        <w:pStyle w:val="TextBody"/>
        <w:bidi w:val="0"/>
        <w:spacing w:before="40" w:after="283"/>
        <w:jc w:val="left"/>
        <w:rPr/>
      </w:pPr>
      <w:r>
        <w:rPr/>
        <w:t> </w:t>
      </w:r>
    </w:p>
    <w:tbl>
      <w:tblPr>
        <w:tblW w:w="9742" w:type="dxa"/>
        <w:jc w:val="left"/>
        <w:tblInd w:w="0" w:type="dxa"/>
        <w:tblLayout w:type="fixed"/>
        <w:tblCellMar>
          <w:top w:w="28" w:type="dxa"/>
          <w:left w:w="28" w:type="dxa"/>
          <w:bottom w:w="28" w:type="dxa"/>
          <w:right w:w="28" w:type="dxa"/>
        </w:tblCellMar>
      </w:tblPr>
      <w:tblGrid>
        <w:gridCol w:w="3916"/>
        <w:gridCol w:w="146"/>
        <w:gridCol w:w="146"/>
        <w:gridCol w:w="931"/>
        <w:gridCol w:w="166"/>
        <w:gridCol w:w="146"/>
        <w:gridCol w:w="242"/>
        <w:gridCol w:w="658"/>
        <w:gridCol w:w="146"/>
        <w:gridCol w:w="146"/>
        <w:gridCol w:w="284"/>
        <w:gridCol w:w="707"/>
        <w:gridCol w:w="146"/>
        <w:gridCol w:w="246"/>
        <w:gridCol w:w="239"/>
        <w:gridCol w:w="886"/>
        <w:gridCol w:w="5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Forfeited or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total intrinsic value of options exercised during the three months ended March 31, 2026 and 2025 were </w:t>
      </w:r>
      <w:r>
        <w:rPr>
          <w:rFonts w:ascii="Times New Roman" w:hAnsi="Times New Roman"/>
          <w:color w:val="000000"/>
          <w:sz w:val="20"/>
        </w:rPr>
        <w:t xml:space="preserve">$1.3 </w:t>
      </w:r>
      <w:r>
        <w:rPr>
          <w:rFonts w:ascii="Times New Roman" w:hAnsi="Times New Roman"/>
          <w:color w:val="231F20"/>
          <w:sz w:val="20"/>
        </w:rPr>
        <w:t>million and $0.2 million, respectively.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weighted-average grant-date fair value of stock options granted during the three months ended March 31, 2026 and 2025 was $8.04 per share and $13.99 per share, respectively. The total fair value of shares vested during the three months ended March 31, 2026 and 2025 was $1.9 million and $1.8 million, respectively.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summarizes the non-vested stock options that were outstanding as of March 31, 2026 and December 31, 2025:</w:t>
      </w:r>
    </w:p>
    <w:p>
      <w:pPr>
        <w:pStyle w:val="TextBody"/>
        <w:bidi w:val="0"/>
        <w:spacing w:before="40" w:after="283"/>
        <w:jc w:val="left"/>
        <w:rPr/>
      </w:pPr>
      <w:r>
        <w:rPr/>
        <w:t> </w:t>
      </w:r>
    </w:p>
    <w:tbl>
      <w:tblPr>
        <w:tblW w:w="5982" w:type="dxa"/>
        <w:jc w:val="left"/>
        <w:tblInd w:w="0" w:type="dxa"/>
        <w:tblLayout w:type="fixed"/>
        <w:tblCellMar>
          <w:top w:w="28" w:type="dxa"/>
          <w:left w:w="28" w:type="dxa"/>
          <w:bottom w:w="28" w:type="dxa"/>
          <w:right w:w="28" w:type="dxa"/>
        </w:tblCellMar>
      </w:tblPr>
      <w:tblGrid>
        <w:gridCol w:w="3376"/>
        <w:gridCol w:w="146"/>
        <w:gridCol w:w="146"/>
        <w:gridCol w:w="931"/>
        <w:gridCol w:w="146"/>
        <w:gridCol w:w="146"/>
        <w:gridCol w:w="242"/>
        <w:gridCol w:w="658"/>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summarizes RSU activity under the Company's incentive plans for the three months ended March 31, 2026:</w:t>
      </w:r>
    </w:p>
    <w:p>
      <w:pPr>
        <w:pStyle w:val="TextBody"/>
        <w:bidi w:val="0"/>
        <w:spacing w:before="40" w:after="283"/>
        <w:jc w:val="left"/>
        <w:rPr/>
      </w:pPr>
      <w:r>
        <w:rPr/>
        <w:t> </w:t>
      </w:r>
    </w:p>
    <w:tbl>
      <w:tblPr>
        <w:tblW w:w="7485" w:type="dxa"/>
        <w:jc w:val="left"/>
        <w:tblInd w:w="0" w:type="dxa"/>
        <w:tblLayout w:type="fixed"/>
        <w:tblCellMar>
          <w:top w:w="28" w:type="dxa"/>
          <w:left w:w="28" w:type="dxa"/>
          <w:bottom w:w="28" w:type="dxa"/>
          <w:right w:w="28" w:type="dxa"/>
        </w:tblCellMar>
      </w:tblPr>
      <w:tblGrid>
        <w:gridCol w:w="3256"/>
        <w:gridCol w:w="146"/>
        <w:gridCol w:w="191"/>
        <w:gridCol w:w="1219"/>
        <w:gridCol w:w="166"/>
        <w:gridCol w:w="146"/>
        <w:gridCol w:w="476"/>
        <w:gridCol w:w="1294"/>
        <w:gridCol w:w="5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Stock-Based Compensation Expense</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Stock-based compensation expense </w:t>
      </w:r>
      <w:r>
        <w:rPr>
          <w:rFonts w:ascii="Times New Roman" w:hAnsi="Times New Roman"/>
          <w:color w:val="000000"/>
          <w:sz w:val="20"/>
        </w:rPr>
        <w:t>by type and financial statement line is</w:t>
      </w:r>
      <w:r>
        <w:rPr>
          <w:rFonts w:ascii="Times New Roman" w:hAnsi="Times New Roman"/>
          <w:color w:val="231F20"/>
          <w:sz w:val="20"/>
        </w:rPr>
        <w:t xml:space="preserve"> included in the Company’s statements of operations and comprehensive loss as follows:</w:t>
      </w:r>
      <w:r>
        <w:rPr>
          <w:rFonts w:ascii="Times New Roman" w:hAnsi="Times New Roman"/>
          <w:color w:val="000000"/>
          <w:sz w:val="20"/>
        </w:rPr>
        <w:t xml:space="preserve"> </w:t>
      </w:r>
    </w:p>
    <w:p>
      <w:pPr>
        <w:pStyle w:val="TextBody"/>
        <w:bidi w:val="0"/>
        <w:spacing w:before="40" w:after="283"/>
        <w:jc w:val="left"/>
        <w:rPr/>
      </w:pPr>
      <w:r>
        <w:rPr/>
        <w:t> </w:t>
      </w:r>
    </w:p>
    <w:tbl>
      <w:tblPr>
        <w:tblW w:w="6244" w:type="dxa"/>
        <w:jc w:val="left"/>
        <w:tblInd w:w="0" w:type="dxa"/>
        <w:tblLayout w:type="fixed"/>
        <w:tblCellMar>
          <w:top w:w="28" w:type="dxa"/>
          <w:left w:w="28" w:type="dxa"/>
          <w:bottom w:w="28" w:type="dxa"/>
          <w:right w:w="28" w:type="dxa"/>
        </w:tblCellMar>
      </w:tblPr>
      <w:tblGrid>
        <w:gridCol w:w="3511"/>
        <w:gridCol w:w="146"/>
        <w:gridCol w:w="272"/>
        <w:gridCol w:w="738"/>
        <w:gridCol w:w="188"/>
        <w:gridCol w:w="188"/>
        <w:gridCol w:w="272"/>
        <w:gridCol w:w="738"/>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6244" w:type="dxa"/>
        <w:jc w:val="left"/>
        <w:tblInd w:w="0" w:type="dxa"/>
        <w:tblLayout w:type="fixed"/>
        <w:tblCellMar>
          <w:top w:w="28" w:type="dxa"/>
          <w:left w:w="28" w:type="dxa"/>
          <w:bottom w:w="28" w:type="dxa"/>
          <w:right w:w="28" w:type="dxa"/>
        </w:tblCellMar>
      </w:tblPr>
      <w:tblGrid>
        <w:gridCol w:w="3511"/>
        <w:gridCol w:w="146"/>
        <w:gridCol w:w="272"/>
        <w:gridCol w:w="738"/>
        <w:gridCol w:w="188"/>
        <w:gridCol w:w="188"/>
        <w:gridCol w:w="272"/>
        <w:gridCol w:w="738"/>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As of March 31, 2026, total unrecognized stock-based compensation expense related t</w:t>
      </w:r>
      <w:r>
        <w:rPr>
          <w:rFonts w:ascii="Times New Roman" w:hAnsi="Times New Roman"/>
          <w:color w:val="000000"/>
          <w:sz w:val="20"/>
        </w:rPr>
        <w:t xml:space="preserve">o the unvested options was $28.2 million, which is expected to be recognized over a weighted-average period of 2.4 years. </w:t>
      </w:r>
      <w:r>
        <w:rPr>
          <w:rFonts w:ascii="Times New Roman" w:hAnsi="Times New Roman"/>
          <w:color w:val="231F20"/>
          <w:sz w:val="20"/>
        </w:rPr>
        <w:t>As of March 31, 2026, total unrecognized stock-based compensation expense related t</w:t>
      </w:r>
      <w:r>
        <w:rPr>
          <w:rFonts w:ascii="Times New Roman" w:hAnsi="Times New Roman"/>
          <w:color w:val="000000"/>
          <w:sz w:val="20"/>
        </w:rPr>
        <w:t>o the unvested RSUs was $31.2 million, which is expected to be recognized over a weighted-average period of 2.7 years.</w:t>
      </w:r>
    </w:p>
    <w:p>
      <w:pPr>
        <w:pStyle w:val="TextBody"/>
        <w:bidi w:val="0"/>
        <w:spacing w:before="360" w:after="283"/>
        <w:jc w:val="left"/>
        <w:rPr>
          <w:rFonts w:ascii="Times New Roman" w:hAnsi="Times New Roman"/>
          <w:sz w:val="20"/>
        </w:rPr>
      </w:pPr>
      <w:r>
        <w:rPr>
          <w:rFonts w:ascii="Times New Roman" w:hAnsi="Times New Roman"/>
          <w:b/>
          <w:i/>
          <w:color w:val="231F20"/>
          <w:sz w:val="20"/>
        </w:rPr>
        <w:t>Employee Stock Purchase Plan</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Employee Stock Purchase Plan (“ESPP”) was approved by the Board in January 2025. The ESPP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limited to the maximum number of shares they may purchase on any single purchase date. Each offering under the ESPP has a six-month duration, beginning on January 1 and July 1 of each year, with purchases occurring on June 30 and December 31, respectively. The initial offering period under the ESPP commenced on January 1, 2026, and no shares had been purchased as of March 31, 2026.</w:t>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12.</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Employee Benefit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Company maintains a 401(k) retirement plan (the “401(k) Plan”) for the benefit of eligible employees. Each participant may elect to contribute up to 100% of his or her compensation to the 401(k) Plan each year, subject to certain Internal Revenue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Service limitations. Under the terms of the Plan, the Company matches 100% of the first 6% of employee contributions. During the three months ended March 31, 2026 and 2025, the Company contributed $0.9 million and $0.7 million, respectively, to the 401(k) Plan.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w:t>
      </w:r>
      <w:r>
        <w:rPr>
          <w:rFonts w:ascii="Times New Roman" w:hAnsi="Times New Roman"/>
          <w:color w:val="231F20"/>
          <w:sz w:val="20"/>
        </w:rPr>
        <w:t>three months ended March 31, 2026 and 2025</w:t>
      </w:r>
      <w:r>
        <w:rPr>
          <w:rFonts w:ascii="Times New Roman" w:hAnsi="Times New Roman"/>
          <w:color w:val="000000"/>
          <w:sz w:val="20"/>
        </w:rPr>
        <w:t>, the Company did not record income tax benefits for the net operating losses (“NOLs”) incurred or for the research and development tax credits generated in each year, due to its uncertainty of realizing a benefit from those items. The Company does not have any foreign operations and therefore has no foreign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files income tax returns as prescribed by the tax laws of the jurisdictions in which it operates. In the normal course of business, the Company is subject to examination by federal and state jurisdictions, where applicable. As of March 31, 2026, there were no pending tax examinations and the Company currently is not under tax examination in any tax jurisdiction. The Company is open to future tax examination under statute by the Internal Revenue Service (the “IRS”) from 2022 to present and by most state tax authorities from 2021 to present. However, to the extent allowed by law, the taxing authorities may have the right to examine periods where NOLs and research and development credits were generated and carried forward, and make adjustments to the amount of the NOL and research credits carryforwards.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14.</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 xml:space="preserve">Leases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November 2023, the Company entered into a new lease agreement in San Diego, California. This lease expires in February 2027 and includes an option to extend the lease term for an additional five years. </w:t>
      </w:r>
      <w:r>
        <w:rPr>
          <w:rFonts w:ascii="Times New Roman" w:hAnsi="Times New Roman"/>
          <w:color w:val="221F1F"/>
          <w:sz w:val="20"/>
        </w:rPr>
        <w:t>The option to extend the lease term was not included in the right-of-use asset and lease liability as it was not reasonably certain of being exercised.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September 2024, the Company amended its lease for office space and a manufacturing facility in Irvine, California to include two renewal options. The Company is reasonably certain it will exercise one of these options, extending the lease term from May 2027 to June 2032, which has been factored into the lease liability. As the amendment only resulted in the extension of the lease term, it did not meet the criteria to be accounted for as a separate contract. Accordingly, the right-of-use asset and lease liability were remeasured as of the effective date of the amendment, resulting in the recording of an additional right-of-use asset and lease liability of $3.8 million.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October 2024, the Company entered into a lease agreement for an additional office suite to expand its office space in San Diego, California, which expires in March 2027. As a result, the Company recognized operating lease right-of-use asset and associated operating lease liability of $0.2 million on the balance sheets in 2024.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September 2025, the Company's sublease expired and the Company entered into a separate sublease agreement in an additional office building in San Diego, California, which expires in August 2028. As a result, the Company recognized operating lease right-of-use asset and associated operating lease liability of $1.3 million on the balance sheet.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components of lease expense were as follows: </w:t>
      </w:r>
    </w:p>
    <w:p>
      <w:pPr>
        <w:pStyle w:val="TextBody"/>
        <w:bidi w:val="0"/>
        <w:spacing w:before="40" w:after="283"/>
        <w:jc w:val="left"/>
        <w:rPr/>
      </w:pPr>
      <w:r>
        <w:rPr/>
        <w:t> </w:t>
      </w:r>
    </w:p>
    <w:tbl>
      <w:tblPr>
        <w:tblW w:w="5456" w:type="dxa"/>
        <w:jc w:val="left"/>
        <w:tblInd w:w="0" w:type="dxa"/>
        <w:tblLayout w:type="fixed"/>
        <w:tblCellMar>
          <w:top w:w="28" w:type="dxa"/>
          <w:left w:w="28" w:type="dxa"/>
          <w:bottom w:w="28" w:type="dxa"/>
          <w:right w:w="28" w:type="dxa"/>
        </w:tblCellMar>
      </w:tblPr>
      <w:tblGrid>
        <w:gridCol w:w="2521"/>
        <w:gridCol w:w="146"/>
        <w:gridCol w:w="325"/>
        <w:gridCol w:w="649"/>
        <w:gridCol w:w="225"/>
        <w:gridCol w:w="225"/>
        <w:gridCol w:w="325"/>
        <w:gridCol w:w="649"/>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cost–fixed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Cash paid for amounts included in the measurement of operating lease liabilities </w:t>
      </w:r>
      <w:r>
        <w:rPr>
          <w:rFonts w:ascii="Times New Roman" w:hAnsi="Times New Roman"/>
          <w:color w:val="000000"/>
          <w:sz w:val="20"/>
        </w:rPr>
        <w:t xml:space="preserve">was $0.5 million and $0.4 million, </w:t>
      </w:r>
      <w:r>
        <w:rPr>
          <w:rFonts w:ascii="Times New Roman" w:hAnsi="Times New Roman"/>
          <w:color w:val="231F20"/>
          <w:sz w:val="20"/>
        </w:rPr>
        <w:t xml:space="preserve">respectively, for the three months ended March 31, 2026 and 2025.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weighted-average remaining lease term and discount rate were as follows:</w:t>
      </w:r>
    </w:p>
    <w:p>
      <w:pPr>
        <w:pStyle w:val="TextBody"/>
        <w:bidi w:val="0"/>
        <w:spacing w:before="40" w:after="283"/>
        <w:jc w:val="left"/>
        <w:rPr/>
      </w:pPr>
      <w:r>
        <w:rPr/>
        <w:t> </w:t>
      </w:r>
    </w:p>
    <w:tbl>
      <w:tblPr>
        <w:tblW w:w="5053" w:type="dxa"/>
        <w:jc w:val="left"/>
        <w:tblInd w:w="0" w:type="dxa"/>
        <w:tblLayout w:type="fixed"/>
        <w:tblCellMar>
          <w:top w:w="28" w:type="dxa"/>
          <w:left w:w="28" w:type="dxa"/>
          <w:bottom w:w="28" w:type="dxa"/>
          <w:right w:w="28" w:type="dxa"/>
        </w:tblCellMar>
      </w:tblPr>
      <w:tblGrid>
        <w:gridCol w:w="3331"/>
        <w:gridCol w:w="146"/>
        <w:gridCol w:w="300"/>
        <w:gridCol w:w="960"/>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Future lease payments under non-cancellable leases as of March 31, 2026 were as follows:</w:t>
      </w:r>
      <w:r>
        <w:rPr>
          <w:rFonts w:ascii="Times New Roman" w:hAnsi="Times New Roman"/>
          <w:color w:val="000000"/>
          <w:sz w:val="20"/>
        </w:rPr>
        <w:t xml:space="preserve"> </w:t>
      </w:r>
    </w:p>
    <w:p>
      <w:pPr>
        <w:pStyle w:val="TextBody"/>
        <w:bidi w:val="0"/>
        <w:spacing w:before="40" w:after="283"/>
        <w:jc w:val="left"/>
        <w:rPr/>
      </w:pPr>
      <w:r>
        <w:rPr/>
        <w:t> </w:t>
      </w:r>
    </w:p>
    <w:tbl>
      <w:tblPr>
        <w:tblW w:w="3955" w:type="dxa"/>
        <w:jc w:val="left"/>
        <w:tblInd w:w="0" w:type="dxa"/>
        <w:tblLayout w:type="fixed"/>
        <w:tblCellMar>
          <w:top w:w="28" w:type="dxa"/>
          <w:left w:w="28" w:type="dxa"/>
          <w:bottom w:w="28" w:type="dxa"/>
          <w:right w:w="28" w:type="dxa"/>
        </w:tblCellMar>
      </w:tblPr>
      <w:tblGrid>
        <w:gridCol w:w="2556"/>
        <w:gridCol w:w="146"/>
        <w:gridCol w:w="211"/>
        <w:gridCol w:w="631"/>
        <w:gridCol w:w="411"/>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0"/>
        <w:jc w:val="left"/>
        <w:rPr>
          <w:rFonts w:ascii="Times New Roman" w:hAnsi="Times New Roman"/>
          <w:b/>
          <w:color w:val="231F20"/>
          <w:sz w:val="20"/>
        </w:rPr>
      </w:pPr>
      <w:r>
        <w:rPr>
          <w:rFonts w:ascii="Times New Roman" w:hAnsi="Times New Roman"/>
          <w:b/>
          <w:color w:val="231F20"/>
          <w:sz w:val="20"/>
        </w:rPr>
        <w:t>15.</w:t>
      </w:r>
    </w:p>
    <w:p>
      <w:pPr>
        <w:pStyle w:val="TextBody"/>
        <w:bidi w:val="0"/>
        <w:jc w:val="left"/>
        <w:rPr>
          <w:rFonts w:ascii="Times New Roman" w:hAnsi="Times New Roman"/>
          <w:b/>
          <w:color w:val="231F20"/>
          <w:sz w:val="20"/>
        </w:rPr>
      </w:pPr>
      <w:r>
        <w:rPr>
          <w:rFonts w:ascii="Times New Roman" w:hAnsi="Times New Roman"/>
          <w:b/>
          <w:color w:val="231F20"/>
          <w:sz w:val="20"/>
        </w:rPr>
        <w:t>Commitments and Contingencies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the Company may become involved in various legal proceedings, including those that may arise in the ordinary course of business. The Company believes there is no litigation pending that could have, individually, or in the aggregate, a material adverse effect on the results of its operations, financial condition or cash flows.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Xeris Agreements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May 2024, the Company and Xeris Pharmaceuticals, Inc. (“Xeris”) entered into a collaboration and license agreement (“Collaboration and License Agreement”) to develop and commercialize glucagon products for use in the Company’s pump-based systems. Under the Collaboration and License Agreement, the Company received a worldwide, exclusive, sublicensable license to certain Xeris technology for use in the field of chronic glycemic control, as well as a manufacturing license subject to a future technology transfer and commercial supply arrangement.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consideration for the rights granted under the agreement, the Company paid Xeris an upfront fee of $0.5 million and a development milestone payment of $3.0 million, both of which were recognized as research and development expenses when incurred. The Company is also required to pay Xeris tiered royalties in the low double-digit percentage range on future net sales of licensed products, subject to customary reductions.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connection with clinical development activities, we entered into the Clinical Supply Agreement with Xeris and incurred $0.9 million of costs for Phase 2 clinical materials during 2024, with the remaining balance paid in 2025. In connection with entering into Phase 3 of the collaboration, we expect to incur development and manufacturing costs, including ordering clinical materials and technical transfer, development, and testing of the product, totaling $5.1 million. As of March 31, 2026, the Company has completed payments totaling $4.0 million. Amounts are initially recorded as prepaid expenses and recognized as research and development expense as the related services are performed. The Company may incur additional research and development expenses and, upon commercialization, royalty obligations under these agreements.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mda"/>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the related notes included elsewhere in this Quarterly Report, our financial statements and the related notes thereto for the fiscal year ended December 31, 2025 and the related Management’s Discussion and Analysis of Financial Condition and Results of Operations, which are contained in our Annual Report on Form 10-K for the year ended December 31, 2025 filed with the SEC. Some of the information contained in this discussion and analysis or set forth elsewhere in this Quarterly Report, including information with respect to our planned investments in our research and development, sales and marketing and general administrative functions, and our current plans and strategy for our business and related financing,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You should carefully read the section titled “Risk Factors” and “Special Note Regarding Forward-Looking Statements” in both our Annual Report on Form 10-K for the year ended December 31, 2025 and in this Quarterly Report to gain an understanding of the important factors that could cause actual results to differ materially from our forward-looking statements.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medical device company engaged in the design, development, and commercialization of innovative solutions to improve the health and quality of life of insulin-requiring people with diabetes (PWD) by utilizing advanced adaptive closed-loop algorithms to simplify and improve the treatment of their disease. Diabetes is a chronic condition that requires ongoing insulin management, and despite advances in care, many PWD continue to struggle to achieve optimal outcomes. Despite decades of innovation, a significant unmet need remains. Our product, the iLet, is the first insulin delivery device cleared by the U.S. Food and Drug Administration (FDA) to utilize adaptive closed-loop algorithms to autonomously determine every insulin dose without requiring a user to count carbohydrate intake. We believe this represents a significant advancement over currently available insulin delivery options by offering a differentiated combination of improved glycemic control and a simplified experience for users and caregivers.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iLet was specifically designed to provide improvements in glycemic control relative to currently available treatment options, such as insulin pumps, including partially automated insulin delivery (AID) systems (also known as hybrid closed-loop systems), and multiple daily injections (MDI), also reducing the complexity and burden of achieving these improved results for PWD. It is enabled by adaptive closed-loop algorithms that continuously learn each person’s unique and everchanging insulin requirements and then autonomously delivers the correct insulin doses every five minutes throughout the day and night. Only the user’s body weight is required for device initialization and the autonomous determination of all insulin doses, unlike insulin pumps and hybrid closed-loop systems, which require a complex host of parameters to configure.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initial commercialization efforts for the iLet are in type 1 diabetes (T1D), an indication for which we received FDA clearance in patients six and older in May 2023, in the United States. According to the Centers for Disease Control and Prevention (CDC), there are approximately 1.9 million people with T1D currently in the United States, all of whom require daily insulin replacement to manage their disease. We believe that one of the principal causes of suboptimal outcomes as it relates to disease management is the complexity of the user experience with most currently available insulin pumps and hybrid closed-loop systems, which has kept the majority of PWD from adopting them despite the improved disease management they can offer. We believe that approximately one-third of people with T1D in the United States utilize insulin pumps or hybrid closed-loop systems to receive their daily insulin, while the majority receive their daily insulin via MDI, which is less complex, but often less effective, and has been shown to be associated with higher HbA1c levels. Our initial commercial results suggest that the iLet’s value proposition is resonating strongly within the MDI population as approximately 70% and 71% of the iLet’s adoption during the three months ended March 31, 2026 and 2025, respectively, came from PWD who were previously utilizing MDI.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partnered with Dexcom and Abbott—global leaders in popular and easy to use iCGM technology—to integrate the iLet with the Dexcom G6 and G7 iCGMs and with Abbott’s FreeStyle Libre 3 Plus Continuous Glucose Monitor (CGM) sensor. Use of the iLet requires the independent purchase of a compatible third-party iCGM to provide real-time data to the iLet user.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iLet requires the use of single-use products, which we sell separately to our customers. These single-use products include cartridges for storing and delivering insulin, as well as infusion sets. These single-use products are generally recommended to be disposed of entirely every 2-3 days, or as directed by a healthcare provider. We also offer a mobile application that receives information from the iLet and displays that information discreetly to the user. This intuitive mobile application delivers real-time glucose readings, trends and graphs, with data securely stored in the cloud.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maximize the commercial value of the iLet opportunity, we have assembled a team across our organization with broad experience in the successful commercialization of innovative technologies in the field of diabetes disease management. We 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promoting sales of the iLet through an internal sales organization focused on high-volume endocrinology practices in the United States and may expand to primary care physicians (PCP) over time. We believe that the iLet’s core value proposition of marrying effective glycemic control with the simplicity of use that is brought about by adaptive closed-loop algorithm insulin-dose determination may resonate particularly well among PCP who do not have the subspecialty-level of expertise, the resources, or the clinical bandwidth that is needed to initiate insulin-pump or hybrid closed-loop therapy or for the continual demand (such as adjustments at quarterly visits) those systems place on clinical practices in follow-on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primary customers are distributors and pharmacies who sell the iLet and single-use products that are used together with the iLet. PWD acquire our products through the DME channel and the PBP channel. Currently, the majority of our new patient starts are reimbursed through the DME channel.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pursuing a multi-channel coverage and reimbursement strategy to maximize access to the iLet within the T1D population, provide flexibility for PWD in choosing their device and provide PWD with advantageous coverage and reimbursement terms. We are working with payors to establish coverage and reimbursement under both the DME and PBP channels as we believe this strategy increases access and optimizes the potential for better medical outcomes for PWD through the adoption of the iLet.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durable medical equipment (DME) and pharmacy benefit plans (PBP) reimbursement channels for the iLet and its single-use products entail different payment outlays and therefore differentially impact PWD and our financial results. DME reimbursement requires the user and insurance carrier to make a large, upfront payment and reimbursement, respectively, for the iLet, which is typically in the thousands of dollars.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contrast, PBP reimbursement requires the user and insurance carrier to make a small upfront payment and reimbursement, respectively, for the iLet, allowing for a potentially higher rate of adoption by PWD. The insurance carrier then makes larger reimbursement payments for the purchase of single-use products, with the user’s payments for the single-use products being generally consistent with what the user would likely pay for single-use products in DME reimbursement. As a result, we recognize a small amount of revenue at or around the date the iLet is sold in the PBP channel and we absorb initial negative gross margin. iLet sales in the PBP channel are generally expected to then start generating cumulative positive gross margin for us following the third month the user utilizes the iLet and continues to purchase single-use products. For the three months ended March 31, 2026 and 2025, PBP channel sales represented 39% and 22% of net sales,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considering the overall economics over the lifetime of each iLet, sales through the DME channel generally result in higher upfront cash flows from the large upfront payment and reimbursement for the iLet, but lead to lower cash flows over time as the user purchases the necessary single-use products. By contrast, sales through the PBP channel generally result in lower upfront cash flows from the small payment and reimbursement for the iLet, but lead to higher cash flows over time as the user purchases the necessary single-use products. This reflects differences in both the upfront device economics and the pricing of recurring single-use products across channels. When comparing sales through the DME and PBP channels, we expect sales through the PBP channel will have a more favorable economic impact on our financial results over the expected life of the iLet, which we generally expect to be four years. As such, our current strategic priority is to direct demand to the PBP reimbursement channel.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commercialized product and to maintain our competitive position in the marketplace, we intend to continue investing in disruptive technologies through our experienced research and development team. We are in the early stages of developing an insulin pump that adheres directly to the skin and administers insulin without the need for tubing, commonly known in the diabetes industry as a “patch pump.” We are also in the early stages of developing a first-of-its-kind bihormonal system of the iLet, which combines automated delivery of insulin and glucagon, the BG-raising hormone that protects against low blood sugar, or hypoglycemia, with adaptive closed-loop algorithms where all doses of both hormones are autonomously determined. As part of our development plans, in September 2025, we completed a clinical trial in Canada assessing the pharmacokinetics (PK) and pharmacodynamics (PD) of our glucagon product candidate (also referred to as the glucagon asset, and referred to herein as the PK-PD Trial). The completion of the PK-PD Trial enables us to bridge our previous bihormonal clinical data to our glucagon product candidate. We believe that the results from the PK-PD Trial are supportive of the continued development of our glucagon product candidate for use in our bihormonal system of the iLet. In the fourth quarter of 2025, we completed our first-in-human Phase 2a feasibility trial in New Zealand evaluating the integrated bihormonal system, including the glucagon formulation, pump, and dosing algorithms. In the first quarter of 2026, we initiated an additional Phase 2a feasibility trial to further evaluate the system as we advance development. We also intend to pursue the development of the iLet for expanded patient populations and indications, such as people with type 2 diabetes (T2D), as we believe the size and composition of this population make it a compelling opportunity.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and Collaboration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the key terms of certain of our license and collaboration agreements. For a more detailed description of these agreements, see “Business—License and Collaboration Agreements” in our Annual Report on Form 10-K for the year ended December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Device License Agreement with Boston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Device License Agreement with Boston University (BU) that requires ongoing royalty payments and other financial obligations related to products incorporating BU-licensed technology. Under the agreement, we are required to pay (i) quarterly royalties in the mid-single-digit percentage range based on net sales of licensed products by us and our affiliates, (ii) quarterly royalties in the low double-digit percentage range based on net sales by sublicensees, which are creditable against a minimum annual royalty amount, and (iii) quarterly lump-sum payments in the low double-digit percentage range based on certain non-royalty sublicensing revenue. We are also responsible for reimbursing BU for patent-related costs and may be required to pay an assignment fee in the event of a sale of substantially all assets related to the licensed technology. During the three months ended March 31, 2026, we continued to incur royalty and license-related costs under this agreement which were recorded as cost of goods sold or operating expenses, as applicable, and expect these costs to increase as sales volumes grow.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Control Algorithm License Agreement with Boston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Control Algorithm license agreement with BU covering automated control system technology incorporated into the iLet. Under the financial terms of the agreement, we are required to pay BU (i) quarterly royalties of a mid-single-digit percentage based on net sales by us and our affiliates, (ii) quarterly royalties of a low double-digit percentage based on net sales by sublicensees, in each case of (i) and (ii) creditable against a minimum annual royalty amount, and (iii) quarterly lump-sum payments of a low double-digit percentage of certain non-royalty sublicensing revenue received from sublicensees. We are also responsible for reimbursing patent-related costs and are required to make a one-time change-of-control payment of $65,000 if such an event occurs. During the three months ended March 31, 2026, we continued to incur royalty and license-related costs under this agreement and expect these costs to increase as sales volumes grow.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Collaboration and License Agreement with Xeris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Collaboration and License Agreement with Xeris Pharmaceuticals, Inc. to develop and commercialize a glucagon formulation for use in our bihormonal system. Under this agreement, we paid an upfront fee of $0.5 million and a milestone payment of $3.0 million, both of which were recognized as research and development expense when incurred. We are also obligated to pay tiered royalties in the low double-digit percentage range on future net sales of glucagon products, subject to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clinical development activities, we entered into the Clinical Supply Agreement with Xeris and incurred $0.9 million of costs for Phase 2 clinical materials during 2024, with the remaining balance paid in early 2025. We expect to incur up to $5.1 million in additional development and manufacturing costs related to Phase 3 activities, of which $4.0 million had been paid as of March 31, 2026. Amounts are recorded as prepaid expenses and expensed to research and development as services are performed. These agreements are expected to continue to drive research and development expense and future royalty obligations.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Development and Commercial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the key terms of certain of our development and commercial agreements. For a more detailed description of these agreements, see “Business—Development and Commercial Agreements” in our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Commercialization Agreement and Development and Commercialization Agreement with DexCom, Inc. and Abbott Diabetes Care Inc., respectively, related to integrated automated insulin delivery systems. These agreements primarily involve shared development responsibilities and cross-licensing of technology and trademarks and do not require upfront payments, milestone payments, or ongoing royalty obligations. As a result, these arrangements have not had a material direct impact on our results of operations or cash flows to date, though they may affect future operating expenses associated with development, regulatory activities, and commercialization. As of March 31, 2026, there have been no material changes to the terms of these agreements or their impact on our results of operations or cash flows.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Key Factors Affecting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address the factors below is subject to various risks and uncertainties, including those described in the section titled “Risk Factors” in our Annual Report on Form 10-K for the year ended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New Patient Adoption and iLet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 has largely been driven by, and in the future will continue to be impacted by, the rate of sales of our products to new patients. Management focuses on new patient starts as a key indicator of current business success. We expect our new patient starts to continue to grow as we increase penetration in our existing markets and expand into, or offer new features and solutions that appeal to, new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grow our sales in the coming years through multiple strategies, including expanding our sales efforts to focus on the more diffuse population of people with T1D who are treated by PCP over time, expanding our marketing initiatives including via the Bionic Universe, leveraging our partnerships with global leaders in CGM technology like Dexcom and Abbott, growing our internal customer support team, continuing to enhance our product offerings and pursuing a multi-channel coverage and reimbursement strategy.</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Third-Party Payor Reimbursement and Impact of Our Multi-Channel Reimbursement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medical device company, our revenue and results of operations may be impacted if we are unable to secure sufficient coverage or reimbursement from third-party payors for our current or future products, or if reimbursement structures change under our multi-channel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a multi-channel coverage and reimbursement strategy to maximize access to the iLet within the T1D population, provide flexibility for PWD in choosing their device and provide PWD with advantageous coverage and reimbursement terms. We are working with payors to establish coverage and reimbursement under both the DME and PBP channels as we believe this strategy increases access and optimizes the potential for better medical outcomes for PWD through the adoption of the iLet. The DME and PBP channels for the iLet and its single-use products entail different payment outlays and therefore differentially impact PWD and our financial results. When considering the overall economics over the lifetime of each iLet, sales through the DME channel generally result in higher upfront cash flows from the large, upfront payment and reimbursement for the iLet, but lead to lower cash flows over time as the user purchases the necessary single-use products. By contrast, sales through the PBP channel generally result in lower upfront cash flows from the small payment and reimbursement for the iLet, but lead to higher cash flows over time as the user purchases the necessary single-use products. This is because single-use products under the PBP channel are sold at a much higher per unit cost than under the DME. As a result of a small amount of revenue recognized at or around the date the iLet is sold in the PBP channel, we absorb initial negative gross margin. iLet sales in the PBP channel are generally expected to start generating cumulative positive gross margin for us following the third month the user utilizes the iLet and continues to purchase single-use products. For the three months ended March 31, 2026 and 2025, PBP channel sales represented 39% and 22%, respectively, of net sales. When comparing sales through the DME and PBP channels, we expect sales through the PBP channel will have a more favorable economic impact on our financial results over the lifetime of the iLet. To the extent that our mix of channel reimbursement fluctuates, our financial results may vary from period to period.</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Continued Investment In Growth and Innovation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growth has been driven by rapid innovation and quick adoption of our products by our customer base. We intend to continue to make focused investments to increase revenue and grow our business, and therefore expect expenses in this area to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invested, and will continue to invest, significantly in our manufacturing capabilities and commercial and customer support infrastructure. We expect that our 50,000 square foot facility in Irvine, California, which commenced operations in 2020, will have sufficient production capacity to support our anticipated clinical and commercial demand for the foreseeable future. We also plan to invest in sales and marketing activities, expect to incur additional general and administrative expenses and to have higher stock- based compensation expenses as we support our growth and our transition to becoming a publicly traded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medical device industry is intensely competitive, subject to rapid change and highly sensitive to the introduction of new products, treatment techniques or technologies. We expect our business to be impacted by the introduction of new diabetes devices and treatments by us or our competitors. In order to maintain our competitive position in the marketplace, we intend, through our experienced research and development team, to continue investing in disruptive technologies, such as a patch pump and bihormonal system of the iLet, as well as pursuing the development of the iLet for expanded patient populations and indications such as people with T2D.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cost of revenue, operating expenses and capital expenditures fluctuate over time, we may experience short-term, negative impacts to our results of operations and cash flows, but we are undertaking such investments in the belief that they will contribute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long-term growth. Moreover, introduction of new products may negatively impact aspects of our financial performance such as our overall gross margins.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Regulatory Approvals and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devices we manufacture are subject to laws and regulation by numerous regulatory bodies, including the FDA. The laws and regulations govern, among other things, the research and development, design, testing, manufacture, packaging, storage, recordkeeping, approval, labeling, promotion, post-approval monitoring and reporting, distribution and import and export of medical devices. Any adverse event involving any products that we distribute could result in future corrective actions, such as recalls or customer notifications, or regulatory agency actions, which could include warning letters, inspection, mandatory recalls or other enforcement actions. For example, in January 2026, we received a Warning Letter (“Warning Letter”) from the FDA following inspection of our facility in Irvine, California that occurred from June 9, 2025 through June 26, 2025. In the Warning Letter, the FDA cited deficiencies in the response letters we sent to the FDA following the FDA’s issuance of a Form 483, List of Investigational Observations (“Form 483”) in June 2025. The Warning Letter highlights non-conformities observed by the FDA in relation to our Quality Management System, Medical Device Reporting, and Correction and Removals, which were previously communicated by the FDA in the Form 483. In the future, we also intend to pursue additional products, such as a patch pump and bihormonal system of the iLet, as well as pursue the development of the iLet for expanded patient populations and indications such as people with T2D, which will increase our expenses and subject us to increased regulatory-related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regarding regulatory approval and actions, including the Warning Letter and the Form 483, see the section titled “Business—Government Regulation and Product Approval” in Part I, Item 1. “Business” in our in our Annual Report on Form 10-K for the year ended December 31, 2025 and the related risk factors described in Part I, Item 1A. “Risk Factors” in our Annual Report on Form 10-K for the year ended December 31, 2025.</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the revenue generated from our product sales will vary from quarter to quarter as we continue to commercialize the iLet. Specifically, we expect to typically experience lower sales in the first quarter of each year compared to the preceding fourth quarter. This seasonal sales pattern in the United States is associated with the annual insurance deductible resets and coinsurance requirements of the medical insurance plans providing coverage to PWD using the iLet.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Macroeconomic Factors, Global Supply Chain Challenges and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costs are subject to fluctuation, and we continue to evaluate contributing factors, specifically those leading to inflationary cost increases in logistics, price of raw materials (components of the iLet), cost of labor, transportation and operating supplies. While we are experiencing higher raw material, labor, transportation, and operating supply costs, we intend to continue to work to improve productivity to help offset these costs as we navigate these global macroeconomic challenges, including tariffs or other trade measures, future bank failures, increased geopolitical tensions and conflicts, global pandemics, global economic conditions, including changes in monetary and fiscal policy, U.S. political developments and other sources of instability.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 number of suppliers who manufacture the components of the iLet and obtain them on a purchase order basis. We have a supply agreement with Unomedical for the production of infusion sets for our iLet, a contract manufacturing agreement with PMC SMART Solutions LLC (PMC) for the manufacture of our cartridge connectors and a supplier quality agreement with Maxon Precision Motors, Inc. (Maxon) for the supply of pump motors for our iLet. Unomedical, PMC and Maxon are our only suppliers of infusion sets, cartridge connections and pump motors, respectively. For additional information regarding the risks of our reliance on these suppliers, please see the risk factors described in Part I, Item 1A. “Risk Factors” in our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been able to successfully mitigate the challenges described above and ensure uninterrupted supply to our customers. However, there may be times at which we determine that our inventory does not meet our product requirements or we maintain an insufficient level of inventory. We may also over- or underestimate the quantities of required components, in which case we may expend extra resources or be constrained in the amount of end product that we can procure. These factors subject us to the risk of obsolescence and expiration, which may lead to impairment charges.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Components of Results of Operations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iLet was cleared by the FDA for the treatment of T1D and we began commercializing the iLet in the United States. We generate product revenue from the sale of the iLet and single-use products that are used together with the iLet, including cartridges for storing and delivering insulin, and infusion sets that connect the insulin pump to a user’s body. We are able to recognize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when control of the promised goods and services is passed to the customer, which we have identified as our distributor and pharmacy partners. Revenue is recognized in the amount of the consideration received net of any estimated returns and estimated variable consideration adjustments, including rebates, chargebacks and patient assistance, all of which differ by product and sales mix. Revenue is recognized either over time or at a point in time, depending on when control of the associated performance obligation is transferred to the customer.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includes raw materials, labor costs, manufacturing overhead expenses, royalties, freight, import tariffs, scrap and reserves for expected warranty costs and excess and obsolete inventory. Manufacturing overhead expenses include expenses relating to manufacturing engineering, material procurement, inventory and quality control, facilities, depreciation, information technology and operations supervision and management.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and gross margin, or gross profit as a percentage of revenue, has been and will continue to be affected by various factors, including the timing of new patient adoption, iLet and associated single-use products sales, reimbursement, length of product usage, our introduction of new products, including the costs associated with producing and bringing those new products to market, cost reduction and operational efficiency. As a result of the small revenue recognized at or around the date the iLet is sold in the PBP channel, we absorb initial negative gross margin. iLet sales in the PBP channel are generally expected to start generating cumulative positive gross margin for us beyond the third month the user uses the iLet and continues to purchase single-use products. Given the differences in the timing and amount of outlays which correlate directly to revenue between the DME and PBP channels, changes in our future sales mix may also impact our gross profit and gross margin.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(i) research and development expenses (ii) sales and marketing expenses and (iii) general and administrative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include engineering and clinical trial activities for the iLet, regulatory efforts, personnel costs such as salaries, bonuses, stock-based compensation and benefits, payments under third-party license agreements, supplies, development prototypes, design and testing services, depreciation and allocated facilities and information technology expenses, all of which are expensed as incurred. We track research and development expenses by individual product candidate. We expect research and development expenses to increase significantly for the foreseeable future as we advance clinical development, pursue new products and indications including the bihormonal system, patch pump, and potential T2D use, expand technical and operational staffing, make required payments under license arrangements, and establish commercial scale manufacturing capabilities.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early commercialization stages of the iLet and are focused on driving awareness and adoption among new customers. Sales and marketing expenses primarily include personnel costs for our sales and clinical teams, the development of customer support infrastructure, marketing and branding activities, healthcare conference and market research costs, payer education and market access initiatives, data purchases, website and consulting fees, and facilities, travel, and other related operating expenses. We anticipate a significant increase in sales and marketing expenses for the foreseeable future to support the continued commercialization of the iLet and our future products.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personnel-related costs, including salaries, bonuses, stock-based compensation expense and benefits for our personnel in executive, legal, finance, accounting, human resources, information technology, quality assurance and other administrative functions, as well as expenses for patent filings, legal services, accounting and tax services, insurance, travel, facilities and depreciation. We expect these expenses to increase significantly as we continue operating as a public company, driven by higher professional services costs, director and officer insurance, investor and public relations activities and compliance with SEC and stock exchange listing requirements. We anticipate a significant increase in general and administrative expenses for the foreseeable future in order to continue to scale the business and support future demand.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Our other income (expense) consists of (i) interest income, and (ii) other income (expense).</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cash interest earned on our cash, cash equivalents and short-term and long-term investment balances.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consists of miscellaneous income unrelated to our core operations.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Results of Operations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Comparison of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w:t>
      </w:r>
    </w:p>
    <w:p>
      <w:pPr>
        <w:pStyle w:val="TextBody"/>
        <w:bidi w:val="0"/>
        <w:spacing w:before="40" w:after="283"/>
        <w:jc w:val="left"/>
        <w:rPr/>
      </w:pPr>
      <w:r>
        <w:rPr/>
        <w:t> </w:t>
      </w:r>
    </w:p>
    <w:tbl>
      <w:tblPr>
        <w:tblW w:w="9049" w:type="dxa"/>
        <w:jc w:val="left"/>
        <w:tblInd w:w="0" w:type="dxa"/>
        <w:tblLayout w:type="fixed"/>
        <w:tblCellMar>
          <w:top w:w="28" w:type="dxa"/>
          <w:left w:w="28" w:type="dxa"/>
          <w:bottom w:w="28" w:type="dxa"/>
          <w:right w:w="28" w:type="dxa"/>
        </w:tblCellMar>
      </w:tblPr>
      <w:tblGrid>
        <w:gridCol w:w="3651"/>
        <w:gridCol w:w="146"/>
        <w:gridCol w:w="229"/>
        <w:gridCol w:w="801"/>
        <w:gridCol w:w="180"/>
        <w:gridCol w:w="158"/>
        <w:gridCol w:w="229"/>
        <w:gridCol w:w="801"/>
        <w:gridCol w:w="166"/>
        <w:gridCol w:w="146"/>
        <w:gridCol w:w="211"/>
        <w:gridCol w:w="676"/>
        <w:gridCol w:w="166"/>
        <w:gridCol w:w="146"/>
        <w:gridCol w:w="146"/>
        <w:gridCol w:w="481"/>
        <w:gridCol w:w="716"/>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(21,895</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Heading2"/>
        <w:bidi w:val="0"/>
        <w:jc w:val="left"/>
        <w:rPr>
          <w:rFonts w:ascii="Times New Roman" w:hAnsi="Times New Roman"/>
          <w:sz w:val="20"/>
        </w:rPr>
      </w:pPr>
      <w:r>
        <w:rPr>
          <w:rFonts w:ascii="Times New Roman" w:hAnsi="Times New Roman"/>
          <w:b w:val="false"/>
          <w:color w:val="000000"/>
          <w:sz w:val="11"/>
        </w:rPr>
        <w:t>*</w:t>
      </w:r>
      <w:r>
        <w:rPr>
          <w:rFonts w:ascii="Times New Roman" w:hAnsi="Times New Roman"/>
          <w:color w:val="000000"/>
          <w:sz w:val="20"/>
        </w:rPr>
        <w:t xml:space="preserve"> </w:t>
      </w:r>
      <w:r>
        <w:rPr>
          <w:rFonts w:ascii="Times New Roman" w:hAnsi="Times New Roman"/>
          <w:b w:val="false"/>
          <w:color w:val="000000"/>
          <w:sz w:val="16"/>
        </w:rPr>
        <w:t>Not meaningful</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Includes stock-based compensation expense as follows:</w:t>
      </w:r>
    </w:p>
    <w:p>
      <w:pPr>
        <w:pStyle w:val="TextBody"/>
        <w:bidi w:val="0"/>
        <w:jc w:val="left"/>
        <w:rPr/>
      </w:pPr>
      <w:r>
        <w:rPr/>
        <w:t> </w:t>
      </w:r>
    </w:p>
    <w:tbl>
      <w:tblPr>
        <w:tblW w:w="6244" w:type="dxa"/>
        <w:jc w:val="left"/>
        <w:tblInd w:w="0" w:type="dxa"/>
        <w:tblLayout w:type="fixed"/>
        <w:tblCellMar>
          <w:top w:w="28" w:type="dxa"/>
          <w:left w:w="28" w:type="dxa"/>
          <w:bottom w:w="28" w:type="dxa"/>
          <w:right w:w="28" w:type="dxa"/>
        </w:tblCellMar>
      </w:tblPr>
      <w:tblGrid>
        <w:gridCol w:w="3511"/>
        <w:gridCol w:w="146"/>
        <w:gridCol w:w="272"/>
        <w:gridCol w:w="738"/>
        <w:gridCol w:w="188"/>
        <w:gridCol w:w="188"/>
        <w:gridCol w:w="272"/>
        <w:gridCol w:w="738"/>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40" w:after="283"/>
        <w:jc w:val="left"/>
        <w:rPr>
          <w:rFonts w:ascii="Times New Roman" w:hAnsi="Times New Roman"/>
          <w:b w:val="false"/>
          <w:i/>
          <w:color w:val="000000"/>
          <w:sz w:val="20"/>
        </w:rPr>
      </w:pPr>
      <w:r>
        <w:rPr>
          <w:rFonts w:ascii="Times New Roman" w:hAnsi="Times New Roman"/>
          <w:b w:val="false"/>
          <w:i/>
          <w:color w:val="000000"/>
          <w:sz w:val="20"/>
        </w:rPr>
        <w:t>Net Sales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sales for the three months ended March 31, 2026 was $27.6 million, compared to $17.6 million for the </w:t>
      </w:r>
      <w:r>
        <w:rPr>
          <w:rFonts w:ascii="Times New Roman" w:hAnsi="Times New Roman"/>
          <w:color w:val="231F20"/>
          <w:sz w:val="20"/>
        </w:rPr>
        <w:t>three months ended March 31, 2025</w:t>
      </w:r>
      <w:r>
        <w:rPr>
          <w:rFonts w:ascii="Times New Roman" w:hAnsi="Times New Roman"/>
          <w:color w:val="000000"/>
          <w:sz w:val="20"/>
        </w:rPr>
        <w:t>. This increase in net sales of $10.0 million was primarily driven by an increase in the number of single-use products sold, correlated to the growth in our installed base, and growth in new patient starts.</w:t>
      </w:r>
      <w:r>
        <w:rPr>
          <w:rFonts w:ascii="Times New Roman" w:hAnsi="Times New Roman"/>
          <w:color w:val="231F20"/>
          <w:sz w:val="20"/>
        </w:rPr>
        <w:t xml:space="preserve"> </w:t>
      </w:r>
      <w:r>
        <w:rPr>
          <w:rFonts w:ascii="Times New Roman" w:hAnsi="Times New Roman"/>
          <w:color w:val="000000"/>
          <w:sz w:val="20"/>
        </w:rPr>
        <w:t xml:space="preserve">For the </w:t>
      </w:r>
      <w:r>
        <w:rPr>
          <w:rFonts w:ascii="Times New Roman" w:hAnsi="Times New Roman"/>
          <w:color w:val="231F20"/>
          <w:sz w:val="20"/>
        </w:rPr>
        <w:t>three months ended March 31, 2026</w:t>
      </w:r>
      <w:r>
        <w:rPr>
          <w:rFonts w:ascii="Times New Roman" w:hAnsi="Times New Roman"/>
          <w:color w:val="000000"/>
          <w:sz w:val="20"/>
        </w:rPr>
        <w:t xml:space="preserve">, single-use products accounted for 62% of net sales, up from 43% of net sales as of the </w:t>
      </w:r>
      <w:r>
        <w:rPr>
          <w:rFonts w:ascii="Times New Roman" w:hAnsi="Times New Roman"/>
          <w:color w:val="231F20"/>
          <w:sz w:val="20"/>
        </w:rPr>
        <w:t>three months ended March 31, 2025</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the </w:t>
      </w:r>
      <w:r>
        <w:rPr>
          <w:rFonts w:ascii="Times New Roman" w:hAnsi="Times New Roman"/>
          <w:color w:val="231F20"/>
          <w:sz w:val="20"/>
        </w:rPr>
        <w:t>three months ended March 31, 2026</w:t>
      </w:r>
      <w:r>
        <w:rPr>
          <w:rFonts w:ascii="Times New Roman" w:hAnsi="Times New Roman"/>
          <w:color w:val="000000"/>
          <w:sz w:val="20"/>
        </w:rPr>
        <w:t xml:space="preserve">, 61% of net sales were generated through the DME channel and 39% through the PBP channel, compared to 78% and 22%, respectively, for the </w:t>
      </w:r>
      <w:r>
        <w:rPr>
          <w:rFonts w:ascii="Times New Roman" w:hAnsi="Times New Roman"/>
          <w:color w:val="231F20"/>
          <w:sz w:val="20"/>
        </w:rPr>
        <w:t xml:space="preserve">three months ended March 31, 2025. </w:t>
      </w:r>
      <w:r>
        <w:rPr>
          <w:rFonts w:ascii="Times New Roman" w:hAnsi="Times New Roman"/>
          <w:color w:val="000000"/>
          <w:sz w:val="20"/>
        </w:rPr>
        <w:t>The shift toward the PBP channel was driven by expanded pharmacy benefit coverage, resulting in a larger percentage of new patient starts reimbursed through this channel.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Cost of Sales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Cost of sales for the </w:t>
      </w:r>
      <w:r>
        <w:rPr>
          <w:rFonts w:ascii="Times New Roman" w:hAnsi="Times New Roman"/>
          <w:color w:val="231F20"/>
          <w:sz w:val="20"/>
        </w:rPr>
        <w:t xml:space="preserve">three months ended March 31, 2026 </w:t>
      </w:r>
      <w:r>
        <w:rPr>
          <w:rFonts w:ascii="Times New Roman" w:hAnsi="Times New Roman"/>
          <w:color w:val="000000"/>
          <w:sz w:val="20"/>
        </w:rPr>
        <w:t xml:space="preserve">was $11.2 million, compared to $8.7 million for the </w:t>
      </w:r>
      <w:r>
        <w:rPr>
          <w:rFonts w:ascii="Times New Roman" w:hAnsi="Times New Roman"/>
          <w:color w:val="231F20"/>
          <w:sz w:val="20"/>
        </w:rPr>
        <w:t>three months ended March 31, 2025</w:t>
      </w:r>
      <w:r>
        <w:rPr>
          <w:rFonts w:ascii="Times New Roman" w:hAnsi="Times New Roman"/>
          <w:color w:val="000000"/>
          <w:sz w:val="20"/>
        </w:rPr>
        <w:t>. This increase of $2.5 million was primarily attributable to increased volumes of single-use products and pharmacy iLets.</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Gross Profit and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for the three months ended March 31, 2026 was $16.4 million, compared to $9.0 million for the three months ended March 31, 2025. Gross margin was 59% for the three months ended March 31, 2026, compared to 51% in the three months ended March 31, 2025. Gross profit increased by $7.4 million, primarily driven by higher sales volume. Gross margin improved year over year due to increased production scale and improved cost absorption.</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Research and Development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Research and development expenses for the </w:t>
      </w:r>
      <w:r>
        <w:rPr>
          <w:rFonts w:ascii="Times New Roman" w:hAnsi="Times New Roman"/>
          <w:color w:val="231F20"/>
          <w:sz w:val="20"/>
        </w:rPr>
        <w:t xml:space="preserve">three months ended March 31, 2026 was </w:t>
      </w:r>
      <w:r>
        <w:rPr>
          <w:rFonts w:ascii="Times New Roman" w:hAnsi="Times New Roman"/>
          <w:color w:val="000000"/>
          <w:sz w:val="20"/>
        </w:rPr>
        <w:t xml:space="preserve">$10.4 million, compared to $7.6 million for the </w:t>
      </w:r>
      <w:r>
        <w:rPr>
          <w:rFonts w:ascii="Times New Roman" w:hAnsi="Times New Roman"/>
          <w:color w:val="231F20"/>
          <w:sz w:val="20"/>
        </w:rPr>
        <w:t>three months ended March 31, 2025</w:t>
      </w:r>
      <w:r>
        <w:rPr>
          <w:rFonts w:ascii="Times New Roman" w:hAnsi="Times New Roman"/>
          <w:color w:val="000000"/>
          <w:sz w:val="20"/>
        </w:rPr>
        <w:t>. The increase of $2.8 million was primarily attributable to a net increase of $1.5 million in payroll-related expenses, including stock-based compensation, driven by an increase in headcount focused on supporting our innovation activities. The remaining increase is attributable to materials and clinical trial related expenses incurred for the development of our patch pump, bihormonal system of the iLet and incremental software and product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nature of research and development expense by major expense category:</w:t>
      </w:r>
    </w:p>
    <w:p>
      <w:pPr>
        <w:pStyle w:val="TextBody"/>
        <w:bidi w:val="0"/>
        <w:spacing w:before="40" w:after="283"/>
        <w:jc w:val="left"/>
        <w:rPr/>
      </w:pPr>
      <w:r>
        <w:rPr/>
        <w:t> </w:t>
      </w:r>
    </w:p>
    <w:tbl>
      <w:tblPr>
        <w:tblW w:w="8294" w:type="dxa"/>
        <w:jc w:val="left"/>
        <w:tblInd w:w="0" w:type="dxa"/>
        <w:tblLayout w:type="fixed"/>
        <w:tblCellMar>
          <w:top w:w="28" w:type="dxa"/>
          <w:left w:w="28" w:type="dxa"/>
          <w:bottom w:w="28" w:type="dxa"/>
          <w:right w:w="28" w:type="dxa"/>
        </w:tblCellMar>
      </w:tblPr>
      <w:tblGrid>
        <w:gridCol w:w="3421"/>
        <w:gridCol w:w="146"/>
        <w:gridCol w:w="258"/>
        <w:gridCol w:w="827"/>
        <w:gridCol w:w="178"/>
        <w:gridCol w:w="178"/>
        <w:gridCol w:w="258"/>
        <w:gridCol w:w="699"/>
        <w:gridCol w:w="146"/>
        <w:gridCol w:w="146"/>
        <w:gridCol w:w="211"/>
        <w:gridCol w:w="571"/>
        <w:gridCol w:w="166"/>
        <w:gridCol w:w="146"/>
        <w:gridCol w:w="146"/>
        <w:gridCol w:w="421"/>
        <w:gridCol w:w="37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External 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Internal research and development</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External research and development costs primarily include expenses incurred with third-parties such as clinical research organizations conducting the clinical trials and engineering and product development consulting services associated with our development of the iLet.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Internal research and development costs primarily include personnel-related expenses for research and development functions, excluding stock-based compensation and internal costs to manufacture product candidates before FDA marketing authorization, such as raw materials and internal facilities-related expenses.</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for the three months ended March 31, 2026 was $20.7 million, compared to $13.4 million for the three months ended March 31, 2025. The increase of $7.3 million was primarily attributable to an increase of $5.3 million in payroll-related costs, including salaries and wages, sales incentive bonuses, and stock-based compensation due to an increase in headcount of our sales force and customer care team in connection with the expansion of our sales territories within the United States. The remaining increase includes healthcare provider (HCP)-related marketing and training and travel-related costs to support our business growth.</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three months ended March 31, 2026 was $9.6 million, compared to $6.6 million for the three months ended March 31, 2025. The increase of $3.0 million was primarily attributable to an increase of $1.4 million in payroll-related expenses, including stock-based compensation. The remaining increase was attributable to professional fees, including legal services and software-related expenses, and quality system remediation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Total other income (expense), net for the </w:t>
      </w:r>
      <w:r>
        <w:rPr>
          <w:rFonts w:ascii="Times New Roman" w:hAnsi="Times New Roman"/>
          <w:color w:val="231F20"/>
          <w:sz w:val="20"/>
        </w:rPr>
        <w:t xml:space="preserve">three months ended March 31, 2026 </w:t>
      </w:r>
      <w:r>
        <w:rPr>
          <w:rFonts w:ascii="Times New Roman" w:hAnsi="Times New Roman"/>
          <w:color w:val="000000"/>
          <w:sz w:val="20"/>
        </w:rPr>
        <w:t xml:space="preserve">was $2.4 million of income, compared to $10.0 million of expense for the </w:t>
      </w:r>
      <w:r>
        <w:rPr>
          <w:rFonts w:ascii="Times New Roman" w:hAnsi="Times New Roman"/>
          <w:color w:val="231F20"/>
          <w:sz w:val="20"/>
        </w:rPr>
        <w:t>three months ended March 31, 2025</w:t>
      </w:r>
      <w:r>
        <w:rPr>
          <w:rFonts w:ascii="Times New Roman" w:hAnsi="Times New Roman"/>
          <w:color w:val="000000"/>
          <w:sz w:val="20"/>
        </w:rPr>
        <w:t xml:space="preserve">. This change of $12.4 million was primarily attributable to the absence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a loss from the change in fair value of warrant liabilities in the current period, as the warrants were remeasured and net exercised in connection with the Company’s initial public offering in January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Selected Quarterly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our selected unaudited quarterly statements of operations data for each of the eight quarters in the period ended March 31, 2026. The information for each of these quarters has been prepared in accordance with GAAP, on a basis consistent with our unaudited condensed financial statements included elsewhere in this Quarterly Report and our audited financial statements included in our Annual Report on Form 10-K for the year ended December 31, 2025 and include, in our opinion, all normal recurring adjustments necessary for the fair presentation of the results of operations for the periods presented, with the exception of adjusted earnings before interest, taxes, depreciation and amortization (EBITDA), which is a non-GAAP financial measure discussed below. Our historical quarterly results are not necessarily indicative of the results that may be expected in the future and these quarterly results are not necessarily indicative of our operating results for a full year. The following quarterly financial information should be read in conjunction with our financial statements and related notes thereto included elsewhere in this Quarterly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set forth our selected unaudited quarterly statements of operations data for the periods presented: </w:t>
      </w:r>
    </w:p>
    <w:p>
      <w:pPr>
        <w:pStyle w:val="TextBody"/>
        <w:bidi w:val="0"/>
        <w:spacing w:before="40" w:after="283"/>
        <w:jc w:val="left"/>
        <w:rPr/>
      </w:pPr>
      <w:r>
        <w:rPr/>
        <w:t> </w:t>
      </w:r>
    </w:p>
    <w:tbl>
      <w:tblPr>
        <w:tblW w:w="10189" w:type="dxa"/>
        <w:jc w:val="left"/>
        <w:tblInd w:w="0" w:type="dxa"/>
        <w:tblLayout w:type="fixed"/>
        <w:tblCellMar>
          <w:top w:w="28" w:type="dxa"/>
          <w:left w:w="28" w:type="dxa"/>
          <w:bottom w:w="28" w:type="dxa"/>
          <w:right w:w="28" w:type="dxa"/>
        </w:tblCellMar>
      </w:tblPr>
      <w:tblGrid>
        <w:gridCol w:w="2861"/>
        <w:gridCol w:w="146"/>
        <w:gridCol w:w="257"/>
        <w:gridCol w:w="868"/>
        <w:gridCol w:w="241"/>
        <w:gridCol w:w="146"/>
        <w:gridCol w:w="353"/>
        <w:gridCol w:w="1192"/>
        <w:gridCol w:w="241"/>
        <w:gridCol w:w="146"/>
        <w:gridCol w:w="343"/>
        <w:gridCol w:w="1157"/>
        <w:gridCol w:w="241"/>
        <w:gridCol w:w="146"/>
        <w:gridCol w:w="288"/>
        <w:gridCol w:w="972"/>
        <w:gridCol w:w="591"/>
      </w:tblGrid>
      <w:tr>
        <w:trPr/>
        <w:tc>
          <w:tcPr>
            <w:tcW w:w="2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Cost of sales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Research and development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Sales and marketing</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General and administrative</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32,375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32,162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35,068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(16,869</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(14,209</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12"/>
        <w:gridCol w:w="146"/>
        <w:gridCol w:w="252"/>
        <w:gridCol w:w="851"/>
        <w:gridCol w:w="241"/>
        <w:gridCol w:w="146"/>
        <w:gridCol w:w="340"/>
        <w:gridCol w:w="1151"/>
        <w:gridCol w:w="241"/>
        <w:gridCol w:w="146"/>
        <w:gridCol w:w="331"/>
        <w:gridCol w:w="1118"/>
        <w:gridCol w:w="241"/>
        <w:gridCol w:w="146"/>
        <w:gridCol w:w="280"/>
        <w:gridCol w:w="947"/>
        <w:gridCol w:w="616"/>
      </w:tblGrid>
      <w:tr>
        <w:trPr/>
        <w:tc>
          <w:tcPr>
            <w:tcW w:w="3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17,639</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Cost of sales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8,668</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8,971</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Research and development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Sales and marketing</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General and administrative</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19,868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19,891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27,613</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(10,014</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(28,656</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(15,535</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Includes stock-based compensation expense as follows:</w:t>
      </w:r>
    </w:p>
    <w:p>
      <w:pPr>
        <w:pStyle w:val="TextBody"/>
        <w:bidi w:val="0"/>
        <w:jc w:val="left"/>
        <w:rPr/>
      </w:pPr>
      <w:r>
        <w:rPr/>
        <w:t> </w:t>
      </w:r>
    </w:p>
    <w:tbl>
      <w:tblPr>
        <w:tblW w:w="10094" w:type="dxa"/>
        <w:jc w:val="left"/>
        <w:tblInd w:w="0" w:type="dxa"/>
        <w:tblLayout w:type="fixed"/>
        <w:tblCellMar>
          <w:top w:w="28" w:type="dxa"/>
          <w:left w:w="28" w:type="dxa"/>
          <w:bottom w:w="28" w:type="dxa"/>
          <w:right w:w="28" w:type="dxa"/>
        </w:tblCellMar>
      </w:tblPr>
      <w:tblGrid>
        <w:gridCol w:w="3451"/>
        <w:gridCol w:w="146"/>
        <w:gridCol w:w="303"/>
        <w:gridCol w:w="822"/>
        <w:gridCol w:w="146"/>
        <w:gridCol w:w="146"/>
        <w:gridCol w:w="417"/>
        <w:gridCol w:w="1128"/>
        <w:gridCol w:w="146"/>
        <w:gridCol w:w="146"/>
        <w:gridCol w:w="403"/>
        <w:gridCol w:w="1097"/>
        <w:gridCol w:w="146"/>
        <w:gridCol w:w="146"/>
        <w:gridCol w:w="340"/>
        <w:gridCol w:w="92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094" w:type="dxa"/>
        <w:jc w:val="left"/>
        <w:tblInd w:w="0" w:type="dxa"/>
        <w:tblLayout w:type="fixed"/>
        <w:tblCellMar>
          <w:top w:w="28" w:type="dxa"/>
          <w:left w:w="28" w:type="dxa"/>
          <w:bottom w:w="28" w:type="dxa"/>
          <w:right w:w="28" w:type="dxa"/>
        </w:tblCellMar>
      </w:tblPr>
      <w:tblGrid>
        <w:gridCol w:w="3451"/>
        <w:gridCol w:w="146"/>
        <w:gridCol w:w="303"/>
        <w:gridCol w:w="822"/>
        <w:gridCol w:w="146"/>
        <w:gridCol w:w="146"/>
        <w:gridCol w:w="417"/>
        <w:gridCol w:w="1128"/>
        <w:gridCol w:w="146"/>
        <w:gridCol w:w="146"/>
        <w:gridCol w:w="403"/>
        <w:gridCol w:w="1097"/>
        <w:gridCol w:w="146"/>
        <w:gridCol w:w="146"/>
        <w:gridCol w:w="340"/>
        <w:gridCol w:w="92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set forth our selected unaudited quarterly key business metrics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4"/>
        <w:gridCol w:w="146"/>
        <w:gridCol w:w="239"/>
        <w:gridCol w:w="690"/>
        <w:gridCol w:w="271"/>
        <w:gridCol w:w="146"/>
        <w:gridCol w:w="336"/>
        <w:gridCol w:w="972"/>
        <w:gridCol w:w="271"/>
        <w:gridCol w:w="146"/>
        <w:gridCol w:w="324"/>
        <w:gridCol w:w="939"/>
        <w:gridCol w:w="271"/>
        <w:gridCol w:w="146"/>
        <w:gridCol w:w="261"/>
        <w:gridCol w:w="762"/>
        <w:gridCol w:w="521"/>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Durable Medical Equipment (DME) Channel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Pharmacy Benefit Plan (PBP) Channel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New Patient Starts (NPS) Reimbursed Through Pharmacy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High 20s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 30s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 30s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High 30s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30"/>
        <w:gridCol w:w="146"/>
        <w:gridCol w:w="361"/>
        <w:gridCol w:w="991"/>
        <w:gridCol w:w="271"/>
        <w:gridCol w:w="146"/>
        <w:gridCol w:w="419"/>
        <w:gridCol w:w="993"/>
        <w:gridCol w:w="271"/>
        <w:gridCol w:w="146"/>
        <w:gridCol w:w="360"/>
        <w:gridCol w:w="884"/>
        <w:gridCol w:w="271"/>
        <w:gridCol w:w="146"/>
        <w:gridCol w:w="242"/>
        <w:gridCol w:w="706"/>
        <w:gridCol w:w="522"/>
      </w:tblGrid>
      <w:tr>
        <w:trPr/>
        <w:tc>
          <w:tcPr>
            <w:tcW w:w="3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Durable Medical Equipment (DME) Channel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Pharmacy Benefit Plan (PBP) Channel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New Patient Starts (NPS) Reimbursed Through Pharmacy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Mid-single digit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High-single digit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Low-teens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 20s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financial results determined in accordance with GAAP, we believe the following adjusted EBITDA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in our industry, may calculate similarly-titled non-GAAP measures differently or may use other measures to evaluate their performance, all of which could reduce the usefulness of our non-GAAP financial measures as tools for comparison. A reconciliation is provided below for adjusted EBITDA to the most directly comparable financial measure stated in accordance with GAAP. Investors are encouraged to review the related GAAP financial measures and the reconciliation of this non-GAAP financial measure to its most directly comparable GAAP financial measure, and not to rely on any single financial measure to evaluate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 reconciliation of adjusted EBITDA from the most comparable GAAP measure, net loss, for the eight quarters in the period ended March 31, 2026:</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609"/>
        <w:gridCol w:w="146"/>
        <w:gridCol w:w="242"/>
        <w:gridCol w:w="847"/>
        <w:gridCol w:w="166"/>
        <w:gridCol w:w="146"/>
        <w:gridCol w:w="317"/>
        <w:gridCol w:w="1108"/>
        <w:gridCol w:w="166"/>
        <w:gridCol w:w="146"/>
        <w:gridCol w:w="309"/>
        <w:gridCol w:w="1080"/>
        <w:gridCol w:w="166"/>
        <w:gridCol w:w="146"/>
        <w:gridCol w:w="266"/>
        <w:gridCol w:w="931"/>
        <w:gridCol w:w="414"/>
      </w:tblGrid>
      <w:tr>
        <w:trPr/>
        <w:tc>
          <w:tcPr>
            <w:tcW w:w="3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settlement and other related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Quality system remediation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(17,718</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Amounts presented under “Quality system remediation” for the three months ended December 31, 2025 and March 31, 2026 reflect the same category of expenses previously labeled “Other non-recurring” in our Form 10-K for the year ended December 31, 2025. These expenses relate to our one-time remediation efforts in response to the Form 483 and the Warning Letter, including contractor support and the various updates to our quality system to meet FDA expectations.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444"/>
        <w:gridCol w:w="146"/>
        <w:gridCol w:w="246"/>
        <w:gridCol w:w="861"/>
        <w:gridCol w:w="166"/>
        <w:gridCol w:w="146"/>
        <w:gridCol w:w="370"/>
        <w:gridCol w:w="1111"/>
        <w:gridCol w:w="166"/>
        <w:gridCol w:w="146"/>
        <w:gridCol w:w="322"/>
        <w:gridCol w:w="1125"/>
        <w:gridCol w:w="166"/>
        <w:gridCol w:w="146"/>
        <w:gridCol w:w="273"/>
        <w:gridCol w:w="956"/>
        <w:gridCol w:w="415"/>
      </w:tblGrid>
      <w:tr>
        <w:trPr/>
        <w:tc>
          <w:tcPr>
            <w:tcW w:w="3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(28,656</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is a key performance measure that we use to assess our operating performance. Because adjusted EBITDA facilitates internal comparisons of our historical operating performance on a more consistent basis, we use this measure for business planning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calculate adjusted EBITDA as net loss adjusted to exclude (i) depreciation expense, (ii) stock-based compensation expense, (iii) interest income, (iv) income tax expense (benefit), (v) litigation settlement and other related expenses, (vi) quality system remediation and (vii) change in fair value of warrant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 limitations of adjusted EBITDA include: (i) adjusted EBITDA does not properly reflect capital commitments to be paid in the future and (ii) although depreciation expense includes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When evaluating our performance,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consider adjusted EBITDA alongside other financial performance measures, including our net loss and other GAAP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Selected Quarterly Trends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declined in the first quarter of 2026 and 2025 compared to the fourth quarter of 2025 and 2024, primarily due to seasonal factors. Across the remaining periods, net sales increased, primarily driven by continued growth in new patients starts leading to higher net sales of both iLets and supplies.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declined in the first quarter of 2026 and 2025 compared to the fourth quarter of 2025 and 2024, primarily due to lower sales volume consistent with seasonal trends, as well as improved manufacturing efficiencies. Across the remaining periods, cost of sales increased in line with higher sales volume, particularly in pharmacy channel iLet sales, and higher product warranty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margin improved from the first quarter of 2025 through the first quarter of 2026, driven by material cost savings, increased production volumes, and improved manufacturing cost absorption. While gross margin declined from the fourth quarter of 2024 to the first quarter of 2025 due to seasonality, the overall trend reflects operational efficiencies and scale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PBP-reimbursed patient starts represented a low-30% share in the fourth quarter of 2025 and increased to the high-30% range in the first quarter of 2026. While the shift toward the PBP channel continued, the impact was more than offset by higher production volumes, operating efficiencies, and increased contribution from PBP supplies.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generally increased over the periods presented, reflecting higher clinical trial related expenses, engineering, materials, third-party consulting and payroll-related costs to support ongoing product development and enhancement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and marketing expenses increased across the periods presented, primarily driven by higher payroll-related costs associated with expansion of the sales force and customer care team, as well as increased marketing and education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generally increased over the periods presented, primarily due to higher payroll-related costs, public company expenses, including audit, legal and insurance services, and increased operational overhead to support business growth.</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declined in the first quarter of 2026 and 2025 compared to the fourth quarter of 2025 and 2024, primarily reflecting lower net sales due to seasonal factors and continued increases in operating expenses, including stock-based compensation and headcount-related costs. Across the remaining periods, adjusted EBITDA generally improved as revenue growth, improving gross margins and operating leverage offset increases in operating expenses. Variability across prior periods was also impacted by discrete items, including a milestone payment to Xeris in the fourth quarter of 2024 and quality system remediation expenses in the fourth quarter of 2025 and first quarter of 2026.</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Liquidity and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To date, research and development, market development and commercial launch activities have accounted for a significant portion of our overall operating expenses. We expect to incur significant expenses and operating losses for the foreseeable future as we advance the commercialization of our iLet, including future development of the patch pump and bihormonal system of the iLet.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funded our operations primarily through equity financings, including our initial public offering completed in January 2025, as well as revenue generated from the sale of the iLet and related single-use products. We have also received payments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collaboration agreements and government grants. As of </w:t>
      </w:r>
      <w:r>
        <w:rPr>
          <w:rFonts w:ascii="Times New Roman" w:hAnsi="Times New Roman"/>
          <w:color w:val="231F20"/>
          <w:sz w:val="20"/>
        </w:rPr>
        <w:t>March 31, 2026</w:t>
      </w:r>
      <w:r>
        <w:rPr>
          <w:rFonts w:ascii="Times New Roman" w:hAnsi="Times New Roman"/>
          <w:color w:val="000000"/>
          <w:sz w:val="20"/>
        </w:rPr>
        <w:t>, we had cash, cash equivalents and short-term and long-term investments of $239.5 million.</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spacing w:before="40" w:after="283"/>
        <w:jc w:val="left"/>
        <w:rPr/>
      </w:pPr>
      <w:r>
        <w:rPr/>
        <w:t> </w:t>
      </w:r>
    </w:p>
    <w:tbl>
      <w:tblPr>
        <w:tblW w:w="7136" w:type="dxa"/>
        <w:jc w:val="left"/>
        <w:tblInd w:w="0" w:type="dxa"/>
        <w:tblLayout w:type="fixed"/>
        <w:tblCellMar>
          <w:top w:w="28" w:type="dxa"/>
          <w:left w:w="28" w:type="dxa"/>
          <w:bottom w:w="28" w:type="dxa"/>
          <w:right w:w="28" w:type="dxa"/>
        </w:tblCellMar>
      </w:tblPr>
      <w:tblGrid>
        <w:gridCol w:w="4201"/>
        <w:gridCol w:w="146"/>
        <w:gridCol w:w="219"/>
        <w:gridCol w:w="764"/>
        <w:gridCol w:w="172"/>
        <w:gridCol w:w="151"/>
        <w:gridCol w:w="219"/>
        <w:gridCol w:w="873"/>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w:t>
              <w:br/>
              <w:t>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$23.8 million for the three months ended March 31, 2026, compared to $20.0 million for the three months ended March 31, 2025. The increase in net cash used of $3.8 million was primarily driven by the impact of a $12.5 million non-cash benefit from the change in fair value of warrant liabilities in the prior year period that did not recur due to the net exercise of warrant liabilities upon IPO in January 2025, partially offset by a lower net loss and higher stock-based compensation expense in the current period. Working capital used $8.2 million of cash in the three months ended March 31, 2026, compared to $6.5 million in the prior year period. The increase in cash outflow for working capital was primarily due to $3.2 million more spend in accounts payable due to timing of vendor payments, $1.6 million decrease to accounts receivable driven by higher net sales partially offset by improved collections, and $0.3 million less of an increase to deferred revenue compared to the prior year period. These increases to cash outflows were offset by a $2.5 million increase to prepaid expenses due to an increase in prepaid materials due to long lead times and $0.8 million reduction in inventory-related cash outflows, driven by improved demand visibility and more efficient scaling of inventory purchases.</w:t>
      </w:r>
    </w:p>
    <w:p>
      <w:pPr>
        <w:pStyle w:val="Heading2"/>
        <w:bidi w:val="0"/>
        <w:spacing w:before="360" w:after="283"/>
        <w:jc w:val="left"/>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$21.8 million for the three months ended March 31, 2026, compared to net cash used of $179.1 million for the three months ended March 31, 2025. The increase was primarily driven by reduced investment activity in the current period following the deployment of IPO proceeds in the prior year. Specifically, purchases of short-term investments decreased by $142.9 million and purchases of long-term investments decreased by $39.1 million, while proceeds from maturities and redemptions of short-term investments increased by $20.0 million. These changes reflect the timing of maturities of previously purchased U.S. Treasury securities and the reinvestment of a portion of those proceeds into longer-duration investments as part of the Company’s ongoing cash management strategy. This is offset by an increase in purchases of property and equipment by $1.0 million to support further development of our patch pump.</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Financing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cash provided by financing activities was $0.6 million for the </w:t>
      </w:r>
      <w:r>
        <w:rPr>
          <w:rFonts w:ascii="Times New Roman" w:hAnsi="Times New Roman"/>
          <w:color w:val="231F20"/>
          <w:sz w:val="20"/>
        </w:rPr>
        <w:t>three months ended March 31, 2026</w:t>
      </w:r>
      <w:r>
        <w:rPr>
          <w:rFonts w:ascii="Times New Roman" w:hAnsi="Times New Roman"/>
          <w:color w:val="000000"/>
          <w:sz w:val="20"/>
        </w:rPr>
        <w:t>, compared to $211.1 million for the three months ended March 31, 2025. The decrease of $210.5 million was primarily due to the IPO-related financing activities in the prior year period, which included $195.4 million in net proceeds from the Company’s IPO and $15.6 million from the concurrent private placement, and a significant amount of stock option exercises subsequent to the Company's IPO. Financing activities in the current period consisted primarily of proceeds from stock option exercises, with no other significant financing activities during the period.</w:t>
      </w:r>
    </w:p>
    <w:p>
      <w:pPr>
        <w:pStyle w:val="Heading1"/>
        <w:bidi w:val="0"/>
        <w:spacing w:before="360" w:after="283"/>
        <w:jc w:val="left"/>
        <w:rPr>
          <w:rFonts w:ascii="Times New Roman" w:hAnsi="Times New Roman"/>
          <w:sz w:val="20"/>
        </w:rPr>
      </w:pPr>
      <w:r>
        <w:rPr>
          <w:rFonts w:ascii="Times New Roman" w:hAnsi="Times New Roman"/>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gradually in connection with our ongoing activities. The timing and amount of our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FDA clearance for the iLet as an automated insulin dosing system cleared for the treatment of T1D in adults and children six years of age and older, including updates and revisions to our quality system;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obtaining and maintaining FDA marketing authorization or clearance for other future indications or other product candidates, including for the iLet for T1D using both insulin and glucagon (a bihormonal system), the iLet for T2D and the patch pump;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revenue generated by sales of the iLet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scaling up and expanding our manufacturing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building and expanding our sales and marketing efforts in the United States and, in the future,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conducting research and development efforts for future improvements to the iLet;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conducting research and development efforts for future product offerings, such as the patch pump and bihormonal system of the iLet;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complying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hiring additional personnel as our business grows;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future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and macroeconomic events, including tariffs or other trade measures, future bank failures, increased geopolitical tensions and conflict, global pandemics, global economic conditions including changes in monetary and fiscal policy, U.S. political developments and other sources of instability that may impact our ability to access capital on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plans, we believe that our existing cash, cash equivalents and short-term and long-term investments, as well as cash generated from sales of our products, will be sufficient to fund our projected operating expenses and capital expenditure requirements through the first half of 2028. We have based this estimate on assumptions that may prove to be wrong, and we could utilize our available capital resources sooner than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finance our operations through product revenue, as well as potentially through equity or debt financing, collaborations or strategic alliances.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strategic alliances with third parties, we may have to relinquish valuable rights to our technologies, future revenue streams or investigational devices,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products that we would otherwise prefer to develop and market ourselves.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various non-cancelable operating leases for certain office, laboratory and manufacturing space. The leases have varying initial lease terms of approximately 1-6 years. For additional information, see Notes 2 and 14 of our unaudited condensed financial statements included elsewhere in this Quarterly Report.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2024, in connection with research and development activities, we entered into an exclusive worldwide Collaboration and License Agreement with Xeris which contains a number of contractual obligations. In consideration for the licenses and other rights granted to us under the Collaboration and License Agreement, we paid Xeris a one-time, non-refundable payment of $0.5 million and a one-time, non-refundable milestone payment of $3.0 million for the achievement of certain developmental milestones.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entering into Phase 2 of the collaboration, we ordered and paid for clinical material totaling $0.9 million. In connection with entering into Phase 3 of the collaboration, we expect to incur development and manufacturing costs, including ordering clinical materials and technical transfer, development, and testing of the product, totaling $5.1 million. As of March 31, 2026, we have completed payments totaling $4.0 million. The payments were initially recognized in prepaid expense and other current assets in the balance sheets and a portion of the payment was expensed to research and development related to the services completed. In addition, we are required to pay tiered royalties of low double-digit percentages based on net sales of glucagon products, subject to certain reductions. We may continue to incur costs as we progress into Phase 2 and Phase 3 clinical trials. For additional information, see “Business—License and Collaboration Agreements” in our Annual Report on Form 10-K for the year ended December 31, 2025. We expect to continue to incur costs as development activities progress.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Royalty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development, production and sale of the iLet, we have entered into certain agreements that obligate us to pay royalties based on specific production or net sales metrics. Among other obligations, certain license agreements with BU require us to pay quarterly royalties of a mid-single-digit percentage based on net sales (and royalties of a low double-digit percentage of net sales by sublicensees), of any products licensed under the agreements, which royalties are creditable against the minimum royalty amount. For additional information on these license agreements with BU, see “Business—License and Collaboration Agreements” in our Annual Report on Form 10-K for the year ended December 31, 2025. As of March 31, 2026, we have not identified any material changes to these agreements or the related royalty obligations described above.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Heading1"/>
        <w:bidi w:val="0"/>
        <w:spacing w:before="120" w:after="283"/>
        <w:jc w:val="left"/>
        <w:rPr>
          <w:rFonts w:ascii="Times New Roman" w:hAnsi="Times New Roman"/>
          <w:b w:val="false"/>
          <w:color w:val="000000"/>
          <w:sz w:val="20"/>
        </w:rPr>
      </w:pPr>
      <w:r>
        <w:rPr>
          <w:rFonts w:ascii="Times New Roman" w:hAnsi="Times New Roman"/>
          <w:b w:val="false"/>
          <w:color w:val="000000"/>
          <w:sz w:val="20"/>
        </w:rPr>
        <w:t>We did not have during the periods presented, and we do not currently have, any relationships with unconsolidated organizations or financial partnerships, such as structured finance or special purpose entities, that would have been established to facilitate off-balance sheet arrangements or other contractually narrow or limited purposes.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unaudited condensed financial statements, which are prepared in accordance with GAAP. The preparation of our unaudited condensed financial statements and related disclosures requires us to make estimates and judgments that affect the reported amounts of assets, liabilities, revenue, costs and expenses, and the disclosure of contingent assets and liabilities in our unaudited condensed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Part I. Item 1. Note 2 to our unaudited condensed financial statements included elsewhere in this Quarterly Report, we believe that the following accounting policies are the most critical to the judgments and estimates used in the preparation of our unaudited condensed financial statements.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from contracts with customers is generated from the iLet and single-use products that are used together with the iLet, including cartridges for storing and delivering insulin, and infusion sets that connect the insulin pump to a user’s body. Our primary customers are distributors and pharmacy partners who sell our products to insulin-requiring PWD. We recognize revenue when we transfer control of the promised goods or services to customers in an amount that reflects the consideration we expect to be entitled to in exchange for those goods or services, net of estimated returns and estimated variable consideration. Variable consideration related to pharmacy rebates and chargebacks is accounted for as a reduction in revenue and is estimated based on contractual arrangements, actual sales of products qualifying for rebates or chargebacks, and historical payments made related to pharmacy rebates and chargebacks. Estimates associated with pharmacy rebates and chargebacks on products sold are the most significant component of our variable consideration estimates and most at risk for material adjustment because of the time delay between the recording of the provision and its ultimate settlement, an interval that generally ranges from 30 to 90 days. Due to this time lag, in any given period, our adjustments to reflect actual amounts can incorporate changes of estimates related to prior periods. The amount of variable consideration that is included in the transaction price is estimated and is included in revenue only to the extent that it is probable that a significant reversal in the amount of the cumulative revenue recognized will not occur in a future period. If the actual amounts of consideration that we receive differ from estimates, we adjust these estimates, which affects reported revenue, in the period that such variances become known or at the end of each reporting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identified the ability for a customer to access the mobile application and our promise to provide firmware upgrades to the iLet through the mobile application as distinct performance obligations, as access and support is provided throughout the standard four-year warranty period of the device. Accordingly, revenue related to the mobile application and firmware upgrades are deferred and recognized ratably over a four-year period. Given the access to the mobile application and unspecified software updates follow the same pattern of transfer to the customer and are provided over the same four-year period, we recognize revenue for these performance obligations as if they were a single performance obligation. As there is no observable standalone selling price for access to the mobile application or promise to provide firmware upgrades, we estimate standalone selling price by applying the expected cost plus a margin approach.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stock-based awards granted to employees, non-employees and directors based on their fair value on the date of the grant using the Black-Scholes option pricing model. Stock-based compensation expense for those awards is recognized over the requisite service period, which is generally the vesting period of the respective award for employees and directors and the period during which services are performed for non-employees. Stock-based compensation expense for non-employee awards is recognized in the same manner as if we had paid cash in exchange for the goods or services, which is generally the vesting period of the award. We have issued awards with only service-based vesting conditions and record the expense for these awards using the straight-line method. We have not issued any stock-based awards with performance-based or market-based vesting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determined the assumptions for the Black-Scholes option pricing model as discussed below. Each of these inputs is subjective and generally requires significant judgment to determine.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Fair Value of Our Common Stock</w:t>
      </w:r>
      <w:r>
        <w:rPr>
          <w:color w:val="000000"/>
        </w:rPr>
        <w:t>—</w:t>
      </w:r>
      <w:r>
        <w:rPr>
          <w:rFonts w:ascii="Times New Roman" w:hAnsi="Times New Roman"/>
          <w:color w:val="000000"/>
          <w:sz w:val="20"/>
        </w:rPr>
        <w:t>The fair value of stock-based awards is determined based on the market price of our common stock on the date of grant.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Volatility—E</w:t>
      </w:r>
      <w:r>
        <w:rPr>
          <w:rFonts w:ascii="Times New Roman" w:hAnsi="Times New Roman"/>
          <w:color w:val="000000"/>
          <w:sz w:val="20"/>
        </w:rPr>
        <w:t>xpected volatility is derived from the average historical stock volatilities of several public companies within our industry that we consider to be comparable to our business over a period equivalent to the expected term of the stock-based awards. We will continue to apply this process until a sufficient amount of historical information regarding the volatility of our own stock price becomes available.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Term—</w:t>
      </w:r>
      <w:r>
        <w:rPr>
          <w:rFonts w:ascii="Times New Roman" w:hAnsi="Times New Roman"/>
          <w:color w:val="000000"/>
          <w:sz w:val="20"/>
        </w:rPr>
        <w:t>The expected term represents the period that the stock-based awards are expected to be outstanding. The expected term for our stock options was calculated based on the weighted-average vesting term of the awards and the contract period, or the simplified method.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rFonts w:ascii="Times New Roman" w:hAnsi="Times New Roman"/>
          <w:color w:val="000000"/>
          <w:sz w:val="20"/>
        </w:rPr>
        <w:t>The risk-free interest rate is based on the U.S. Treasury yield in effect at the time of grant for zero-coupon U.S. treasury notes with maturities approximately equal to expected term of the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Dividend Yield—</w:t>
      </w:r>
      <w:r>
        <w:rPr>
          <w:rFonts w:ascii="Times New Roman" w:hAnsi="Times New Roman"/>
          <w:color w:val="000000"/>
          <w:sz w:val="20"/>
        </w:rPr>
        <w:t>The expected dividend is zero as we have not paid and do not anticipate paying any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Forfeitures are accounted for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Part I. Item 1. Note 11 of our unaudited condensed financial statements included elsewhere in this Quarterly Report for more information concerning certain of the specific assumptions we used in applying the Black-Scholes option pricing model to determine the estimated fair value of our stock options. Certain of these assumptions involve inherent uncertainties and generally require significant analysis and judgment to develop. Changes in these assumptions can materially impact the fair value and ultimately how much stock-based compensation expense is recognized.</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standards that may potentially impact our financial position, results of operations, and cash flows is included in Part I. Item 1. Note 2 to our unaudited condensed financial statements included elsewhere in this Quarterly Report.</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(JOBS) Act. For as long as we remain an “emerging growth company”, we may take advantage of reduced reporting requirements that are otherwise applicable to public companies. These provisions include, but are not limited to: (i) not being required to comply with the auditor attestation requirements of Section 404 of the Sarbanes-Oxley Act; (ii) reduced disclosure obligations regarding executive compensation in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reports, proxy statements and registration statements; and (iii) exemptions from the requirements of holding a nonbinding advisory vote on executive compensation and any golden parachute payments not previously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may use these provisions until the last day of our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Rule 12b-2 of the Exchange Act because both the market value of our stock held by non-affiliates is less than $700 million and our annual revenue is less than $100.0 million during the most recently completed fiscal year.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unaudited condensed financial statements in our Quarterly Report on Form 10-Q and, similar to emerging growth companies, smaller reporting companies have reduced disclosure obligations regarding executive compensation.</w:t>
      </w:r>
    </w:p>
    <w:p>
      <w:pPr>
        <w:pStyle w:val="TextBody"/>
        <w:bidi w:val="0"/>
        <w:spacing w:before="360" w:after="283"/>
        <w:jc w:val="left"/>
        <w:rPr>
          <w:rFonts w:ascii="Times New Roman" w:hAnsi="Times New Roman"/>
          <w:b/>
          <w:color w:val="000000"/>
          <w:sz w:val="20"/>
        </w:rPr>
      </w:pPr>
      <w:bookmarkStart w:id="10" w:name="market_risk"/>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“smaller reporting company” as defined by Item 10(f)(1) of Regulation S-K, the Company is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management, with the participation of our principal executive officer and our principal financial officer, have evaluated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March 31, 2026, our disclosure controls and procedures were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2_other_information"/>
      <w:bookmarkEnd w:id="12"/>
      <w:r>
        <w:rPr>
          <w:rFonts w:ascii="Times New Roman" w:hAnsi="Times New Roman"/>
          <w:b/>
          <w:color w:val="000000"/>
          <w:sz w:val="20"/>
        </w:rPr>
        <w:t>PART II. OTHER INFORMATION</w:t>
      </w:r>
    </w:p>
    <w:p>
      <w:pPr>
        <w:pStyle w:val="TextBody"/>
        <w:bidi w:val="0"/>
        <w:spacing w:before="120" w:after="283"/>
        <w:jc w:val="left"/>
        <w:rPr>
          <w:rFonts w:ascii="Times New Roman" w:hAnsi="Times New Roman"/>
          <w:b/>
          <w:color w:val="000000"/>
          <w:sz w:val="20"/>
        </w:rPr>
      </w:pPr>
      <w:bookmarkStart w:id="13" w:name="p2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There are currently no claims or actions pending against us, the ultimate disposition of which we believe could have a material adverse effect on our results of operations.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4" w:name="p2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the “Item 1A. Risk Factors” section in our Annual Report on Form 10-K for the year ended December 31, 2025 for a discussion of risks to which our business, financial condition, results of operations and cash flows are subject. There have been no material changes to the risk factors disclosed in the aforementioned Annual Report.</w:t>
      </w:r>
    </w:p>
    <w:p>
      <w:pPr>
        <w:pStyle w:val="TextBody"/>
        <w:bidi w:val="0"/>
        <w:spacing w:before="360" w:after="283"/>
        <w:jc w:val="left"/>
        <w:rPr>
          <w:rFonts w:ascii="Times New Roman" w:hAnsi="Times New Roman"/>
          <w:b/>
          <w:color w:val="000000"/>
          <w:sz w:val="20"/>
        </w:rPr>
      </w:pPr>
      <w:bookmarkStart w:id="15" w:name="p2_use_of_proceeds"/>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16" w:name="p2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7" w:name="p2_mine_safety_disclosures"/>
      <w:bookmarkEnd w:id="17"/>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8" w:name="p2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following officers (as defined in Rule 16a-1(f) under the Exchange Act) adopted or terminated the contracts, instructions or written plans for the purchase or sale of the Company’s securities set forth in the table below.</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58"/>
        <w:gridCol w:w="986"/>
        <w:gridCol w:w="1662"/>
        <w:gridCol w:w="1278"/>
        <w:gridCol w:w="2091"/>
        <w:gridCol w:w="1830"/>
      </w:tblGrid>
      <w:tr>
        <w:trPr/>
        <w:tc>
          <w:tcPr>
            <w:tcW w:w="23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2358"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98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66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27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209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to be Sold</w:t>
            </w:r>
          </w:p>
        </w:tc>
        <w:tc>
          <w:tcPr>
            <w:tcW w:w="183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235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Christy Jones, Director</w:t>
            </w:r>
          </w:p>
        </w:tc>
        <w:tc>
          <w:tcPr>
            <w:tcW w:w="9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6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19, 2026</w:t>
            </w:r>
          </w:p>
        </w:tc>
        <w:tc>
          <w:tcPr>
            <w:tcW w:w="12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20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15,157</w:t>
            </w:r>
          </w:p>
        </w:tc>
        <w:tc>
          <w:tcPr>
            <w:tcW w:w="183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2026</w:t>
            </w:r>
          </w:p>
        </w:tc>
      </w:tr>
      <w:tr>
        <w:trPr/>
        <w:tc>
          <w:tcPr>
            <w:tcW w:w="2358"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Lezack, Chairperson</w:t>
            </w:r>
          </w:p>
        </w:tc>
        <w:tc>
          <w:tcPr>
            <w:tcW w:w="98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6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19, 2026</w:t>
            </w:r>
          </w:p>
        </w:tc>
        <w:tc>
          <w:tcPr>
            <w:tcW w:w="12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20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1,998</w:t>
            </w:r>
          </w:p>
        </w:tc>
        <w:tc>
          <w:tcPr>
            <w:tcW w:w="183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r>
      <w:tr>
        <w:trPr/>
        <w:tc>
          <w:tcPr>
            <w:tcW w:w="10205" w:type="dxa"/>
            <w:gridSpan w:val="6"/>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Contract, instruction or written plan intended to satisfy the affirmative defense conditions of Rule 10b5-1(c) under the Exchange Act.</w:t>
            </w:r>
          </w:p>
        </w:tc>
      </w:tr>
    </w:tbl>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
        <w:gridCol w:w="5934"/>
        <w:gridCol w:w="511"/>
        <w:gridCol w:w="765"/>
        <w:gridCol w:w="631"/>
        <w:gridCol w:w="667"/>
        <w:gridCol w:w="975"/>
      </w:tblGrid>
      <w:tr>
        <w:trPr/>
        <w:tc>
          <w:tcPr>
            <w:tcW w:w="722" w:type="dxa"/>
            <w:tcBorders/>
            <w:vAlign w:val="center"/>
          </w:tcPr>
          <w:p>
            <w:pPr>
              <w:pStyle w:val="TableContents"/>
              <w:bidi w:val="0"/>
              <w:spacing w:before="0" w:after="283"/>
              <w:jc w:val="left"/>
              <w:rPr>
                <w:sz w:val="4"/>
                <w:szCs w:val="4"/>
              </w:rPr>
            </w:pPr>
            <w:r>
              <w:rPr>
                <w:sz w:val="4"/>
                <w:szCs w:val="4"/>
              </w:rPr>
            </w:r>
          </w:p>
        </w:tc>
        <w:tc>
          <w:tcPr>
            <w:tcW w:w="593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72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9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6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6"/>
                  <w:u w:val="single"/>
                </w:rPr>
                <w:t>Amended and Restated Certificate of Incorporation of the Registrant.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001-42491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01/31/25</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6"/>
                  <w:u w:val="single"/>
                </w:rPr>
                <w:t>Amended and Restated Bylaws of the Registrant.</w:t>
              </w:r>
            </w:hyperlink>
            <w:r>
              <w:rPr>
                <w:rFonts w:ascii="Times New Roman" w:hAnsi="Times New Roman"/>
                <w:color w:val="000000"/>
                <w:sz w:val="16"/>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333-284147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01/06/25</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4.1</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6"/>
                  <w:u w:val="single"/>
                </w:rPr>
                <w:t>Form of Common Stock Certificate.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333-284147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01/22/25</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6"/>
                  <w:u w:val="single"/>
                </w:rPr>
                <w:t>Amended and Restated Investor Rights Agreement, dated November 8, 2024, by and among the Registrant and certain of its stockholders.</w:t>
              </w:r>
            </w:hyperlink>
            <w:hyperlink r:id="rId6">
              <w:r>
                <w:rPr>
                  <w:rStyle w:val="InternetLink"/>
                  <w:rFonts w:ascii="Times New Roman" w:hAnsi="Times New Roman"/>
                  <w:color w:val="0000FF"/>
                  <w:sz w:val="16"/>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333-284147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01/06/25</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nx-ex31_1.htm">
              <w:r>
                <w:rPr>
                  <w:rStyle w:val="InternetLink"/>
                  <w:rFonts w:ascii="Times New Roman" w:hAnsi="Times New Roman"/>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nx-ex31_2.htm">
              <w:r>
                <w:rPr>
                  <w:rStyle w:val="InternetLink"/>
                  <w:rFonts w:ascii="Times New Roman" w:hAnsi="Times New Roman"/>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nx-ex32_1.htm">
              <w:r>
                <w:rPr>
                  <w:rStyle w:val="InternetLink"/>
                  <w:rFonts w:ascii="Times New Roman" w:hAnsi="Times New Roman"/>
                  <w:color w:val="0000FF"/>
                  <w:sz w:val="16"/>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Document–the instance document does not appear in the Interactive Data File as its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bl>
    <w:p>
      <w:pPr>
        <w:pStyle w:val="TextBody"/>
        <w:pBdr>
          <w:bottom w:val="single" w:sz="8" w:space="1" w:color="000000"/>
        </w:pBdr>
        <w:bidi w:val="0"/>
        <w:jc w:val="left"/>
        <w:rPr/>
      </w:pPr>
      <w:r>
        <w:rPr/>
        <w:t> </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 The certification furnished in Exhibit 32.1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786"/>
        <w:gridCol w:w="146"/>
        <w:gridCol w:w="466"/>
        <w:gridCol w:w="387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BETA BIONICS,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Saint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Sean Saint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Feider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Stephen Feider</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bbnx-ex31_1.htm"/>
      <w:bookmarkStart w:id="22" w:name="ksbbnxex31_1"/>
      <w:bookmarkEnd w:id="21"/>
      <w:bookmarkEnd w:id="22"/>
      <w:r>
        <w:rPr>
          <w:rFonts w:ascii="Times New Roman" w:hAnsi="Times New Roman"/>
          <w:b/>
          <w:color w:val="000000"/>
          <w:sz w:val="20"/>
        </w:rPr>
        <w:t>Exhibit 31.1</w:t>
      </w:r>
      <w:r>
        <w:br w:type="page"/>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RULE 13a-14(a) AND 15d-14(a) OF THE SECURITIES 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Sean Saint,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 I have reviewed this Quarterly Report on Form 10-Q of Beta Bionics, Inc.;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April 21, 2026</w:t>
      </w:r>
    </w:p>
    <w:p>
      <w:pPr>
        <w:pStyle w:val="TextBody"/>
        <w:bidi w:val="0"/>
        <w:spacing w:before="60" w:after="283"/>
        <w:jc w:val="center"/>
        <w:rPr>
          <w:rFonts w:ascii="Times New Roman" w:hAnsi="Times New Roman"/>
          <w:sz w:val="20"/>
        </w:rPr>
      </w:pPr>
      <w:r>
        <w:rPr>
          <w:rFonts w:ascii="Times New Roman" w:hAnsi="Times New Roman"/>
          <w:color w:val="000000"/>
          <w:sz w:val="20"/>
          <w:u w:val="single"/>
        </w:rPr>
        <w:t>/s/ Sean Saint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Sean Saint</w:t>
      </w:r>
    </w:p>
    <w:p>
      <w:pPr>
        <w:pStyle w:val="TextBody"/>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bbnx-ex31_2.htm"/>
      <w:bookmarkStart w:id="24" w:name="ksbbnxex31_2"/>
      <w:bookmarkEnd w:id="23"/>
      <w:bookmarkEnd w:id="24"/>
      <w:r>
        <w:rPr>
          <w:rFonts w:ascii="Times New Roman" w:hAnsi="Times New Roman"/>
          <w:b/>
          <w:color w:val="000000"/>
          <w:sz w:val="20"/>
        </w:rPr>
        <w:t>Exhibit 31.2</w:t>
      </w:r>
      <w:r>
        <w:br w:type="page"/>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RULE 13a-14(a) AND 15d-14(a) OF THE SECURITIES 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Stephen Feider,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 I have reviewed this Quarterly Report on Form 10-Q of Beta Bionics, Inc.;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April 21, 2026</w:t>
      </w:r>
    </w:p>
    <w:p>
      <w:pPr>
        <w:pStyle w:val="TextBody"/>
        <w:bidi w:val="0"/>
        <w:spacing w:before="60" w:after="283"/>
        <w:jc w:val="center"/>
        <w:rPr>
          <w:rFonts w:ascii="Times New Roman" w:hAnsi="Times New Roman"/>
          <w:color w:val="000000"/>
          <w:sz w:val="20"/>
          <w:u w:val="single"/>
        </w:rPr>
      </w:pPr>
      <w:r>
        <w:rPr>
          <w:rFonts w:ascii="Times New Roman" w:hAnsi="Times New Roman"/>
          <w:color w:val="000000"/>
          <w:sz w:val="20"/>
          <w:u w:val="single"/>
        </w:rPr>
        <w:t xml:space="preserve">/s/ Stephen Feider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Stephen Feider</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(Principal Financial and Accounting Officer)</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5" w:name="bbnx-ex32_1.htm"/>
      <w:bookmarkStart w:id="26" w:name="ksbbnx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Pursuant to the requirement set forth in Rule 13a-14(b) of the Securities Exchange Act of 1934, as amended, (the “Exchange Act”) and Section 1350 of Chapter 63 of Title 18 of the United States Code (18 U.S.C. §1350), </w:t>
      </w:r>
      <w:r>
        <w:rPr>
          <w:rFonts w:ascii="Times New Roman" w:hAnsi="Times New Roman"/>
          <w:color w:val="000000"/>
          <w:sz w:val="20"/>
        </w:rPr>
        <w:t>Sean Saint, President, Chief Executive Officer and Director of Beta Bionics, Inc. (the “Company”), and Stephen Feider, Chief Financial Officer of the Company, each hereby certifies that, to the best of his knowledge: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2026, to which this Certification is attached as Exhibit 32.1 (the “Periodic Report”), fully complies with the requirements of Section 13(a) or Section 15(d) of the Exchange Act;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Dated: April 21, 2026</w:t>
      </w:r>
    </w:p>
    <w:p>
      <w:pPr>
        <w:pStyle w:val="TextBody"/>
        <w:bidi w:val="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April 21, 2026.</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 xml:space="preserve">/s/ Sean Saint /s/ Stephen Feider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Sean Saint Stephen Feider</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President, Chief Executive Officer and Chief Financial Officer</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Director (Principal Financial and Accounting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(Principal Executive Officer)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4632/000119312525018471/d933339dex31.htm" TargetMode="External"/><Relationship Id="rId3" Type="http://schemas.openxmlformats.org/officeDocument/2006/relationships/hyperlink" Target="https://www.sec.gov/Archives/edgar/data/1674632/000119312525002177/d880651dex34.htm" TargetMode="External"/><Relationship Id="rId4" Type="http://schemas.openxmlformats.org/officeDocument/2006/relationships/hyperlink" Target="https://www.sec.gov/Archives/edgar/data/1674632/000119312525009915/d880651dex41.htm" TargetMode="External"/><Relationship Id="rId5" Type="http://schemas.openxmlformats.org/officeDocument/2006/relationships/hyperlink" Target="https://www.sec.gov/Archives/edgar/data/1674632/000119312525002177/d880651dex42.htm" TargetMode="External"/><Relationship Id="rId6" Type="http://schemas.openxmlformats.org/officeDocument/2006/relationships/hyperlink" Target="https://www.sec.gov/Archives/edgar/data/1674632/000119312525002177/d880651dex4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22692</Words>
  <Characters>125612</Characters>
  <CharactersWithSpaces>149512</CharactersWithSpaces>
  <Paragraphs>6309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