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0002051384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
        <w:spacing w:after="0"/>
        <w:rPr>
          <w:sz w:val="20"/>
          <w:szCs w:val="20"/>
          <w:color w:val="auto"/>
        </w:rPr>
      </w:pPr>
      <w:r>
        <w:rPr>
          <w:rFonts w:ascii="Times New Roman" w:cs="Times New Roman" w:eastAsia="Times New Roman" w:hAnsi="Times New Roman"/>
          <w:sz w:val="21"/>
          <w:szCs w:val="21"/>
          <w:color w:val="auto"/>
        </w:rPr>
        <w:t>BETA BIONICS, INC.</w:t>
      </w:r>
    </w:p>
    <w:p>
      <w:pPr>
        <w:spacing w:after="0" w:line="56"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001-42491</w:t>
      </w:r>
    </w:p>
    <w:p>
      <w:pPr>
        <w:spacing w:after="0" w:line="44" w:lineRule="exact"/>
        <w:rPr>
          <w:sz w:val="24"/>
          <w:szCs w:val="24"/>
          <w:color w:val="auto"/>
        </w:rPr>
      </w:pPr>
    </w:p>
    <w:p>
      <w:pPr>
        <w:ind w:left="3" w:right="1640" w:hanging="3"/>
        <w:spacing w:after="0" w:line="254" w:lineRule="auto"/>
        <w:tabs>
          <w:tab w:leader="none" w:pos="265"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HUGHES IRVINE CALIFORNIA 92618</w:t>
      </w:r>
    </w:p>
    <w:p>
      <w:pPr>
        <w:spacing w:after="0" w:line="3" w:lineRule="exact"/>
        <w:rPr>
          <w:rFonts w:ascii="Times New Roman" w:cs="Times New Roman" w:eastAsia="Times New Roman" w:hAnsi="Times New Roman"/>
          <w:sz w:val="21"/>
          <w:szCs w:val="21"/>
          <w:color w:val="auto"/>
        </w:rPr>
      </w:pPr>
    </w:p>
    <w:p>
      <w:pPr>
        <w:ind w:left="3" w:right="1320"/>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949-427-7785 Steven Jon Russell</w:t>
      </w:r>
    </w:p>
    <w:p>
      <w:pPr>
        <w:spacing w:after="0" w:line="1" w:lineRule="exact"/>
        <w:rPr>
          <w:sz w:val="24"/>
          <w:szCs w:val="24"/>
          <w:color w:val="auto"/>
        </w:rPr>
      </w:pPr>
    </w:p>
    <w:p>
      <w:pPr>
        <w:sectPr>
          <w:pgSz w:w="11900" w:h="16838" w:orient="portrait"/>
          <w:cols w:equalWidth="0" w:num="2">
            <w:col w:w="7577" w:space="720"/>
            <w:col w:w="2943"/>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4222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53999.38</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44561695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06/02/2026</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06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6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3020" w:type="dxa"/>
            <w:vAlign w:val="bottom"/>
            <w:vMerge w:val="restart"/>
          </w:tcPr>
          <w:p>
            <w:pPr>
              <w:ind w:left="1460"/>
              <w:spacing w:after="0"/>
              <w:rPr>
                <w:sz w:val="20"/>
                <w:szCs w:val="20"/>
                <w:color w:val="auto"/>
              </w:rPr>
            </w:pPr>
            <w:r>
              <w:rPr>
                <w:rFonts w:ascii="Times New Roman" w:cs="Times New Roman" w:eastAsia="Times New Roman" w:hAnsi="Times New Roman"/>
                <w:sz w:val="22"/>
                <w:szCs w:val="22"/>
                <w:color w:val="auto"/>
                <w:w w:val="97"/>
              </w:rPr>
              <w:t>Compensation for</w:t>
            </w:r>
          </w:p>
        </w:tc>
        <w:tc>
          <w:tcPr>
            <w:tcW w:w="0" w:type="dxa"/>
            <w:vAlign w:val="bottom"/>
          </w:tcPr>
          <w:p>
            <w:pPr>
              <w:spacing w:after="0"/>
              <w:rPr>
                <w:sz w:val="1"/>
                <w:szCs w:val="1"/>
                <w:color w:val="auto"/>
              </w:rPr>
            </w:pPr>
          </w:p>
        </w:tc>
      </w:tr>
      <w:tr>
        <w:trPr>
          <w:trHeight w:val="161"/>
        </w:trPr>
        <w:tc>
          <w:tcPr>
            <w:tcW w:w="4060" w:type="dxa"/>
            <w:vAlign w:val="bottom"/>
            <w:vMerge w:val="restart"/>
          </w:tcPr>
          <w:p>
            <w:pPr>
              <w:ind w:left="2500"/>
              <w:spacing w:after="0" w:line="217" w:lineRule="exact"/>
              <w:rPr>
                <w:sz w:val="20"/>
                <w:szCs w:val="20"/>
                <w:color w:val="auto"/>
              </w:rPr>
            </w:pPr>
            <w:r>
              <w:rPr>
                <w:rFonts w:ascii="Times New Roman" w:cs="Times New Roman" w:eastAsia="Times New Roman" w:hAnsi="Times New Roman"/>
                <w:sz w:val="22"/>
                <w:szCs w:val="22"/>
                <w:color w:val="auto"/>
              </w:rPr>
              <w:t>Units vesting</w:t>
            </w:r>
          </w:p>
        </w:tc>
        <w:tc>
          <w:tcPr>
            <w:tcW w:w="14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4060" w:type="dxa"/>
            <w:vAlign w:val="bottom"/>
            <w:vMerge w:val="continue"/>
          </w:tcPr>
          <w:p>
            <w:pPr>
              <w:spacing w:after="0"/>
              <w:rPr>
                <w:sz w:val="4"/>
                <w:szCs w:val="4"/>
                <w:color w:val="auto"/>
              </w:rPr>
            </w:pPr>
          </w:p>
        </w:tc>
        <w:tc>
          <w:tcPr>
            <w:tcW w:w="14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3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 xml:space="preserve">Common Stock 06/01/2026 </w:t>
            </w:r>
            <w:r>
              <w:rPr>
                <w:rFonts w:ascii="Times New Roman" w:cs="Times New Roman" w:eastAsia="Times New Roman" w:hAnsi="Times New Roman"/>
                <w:sz w:val="28"/>
                <w:szCs w:val="28"/>
                <w:color w:val="auto"/>
                <w:vertAlign w:val="subscript"/>
              </w:rPr>
              <w:t>under registered</w:t>
            </w:r>
          </w:p>
        </w:tc>
        <w:tc>
          <w:tcPr>
            <w:tcW w:w="1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4222</w:t>
            </w:r>
          </w:p>
        </w:tc>
        <w:tc>
          <w:tcPr>
            <w:tcW w:w="30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9"/>
              </w:rPr>
              <w:t>06/01/2026 services rendered</w:t>
            </w:r>
          </w:p>
        </w:tc>
        <w:tc>
          <w:tcPr>
            <w:tcW w:w="0" w:type="dxa"/>
            <w:vAlign w:val="bottom"/>
          </w:tcPr>
          <w:p>
            <w:pPr>
              <w:spacing w:after="0"/>
              <w:rPr>
                <w:sz w:val="1"/>
                <w:szCs w:val="1"/>
                <w:color w:val="auto"/>
              </w:rPr>
            </w:pPr>
          </w:p>
        </w:tc>
      </w:tr>
      <w:tr>
        <w:trPr>
          <w:trHeight w:val="243"/>
        </w:trPr>
        <w:tc>
          <w:tcPr>
            <w:tcW w:w="4060" w:type="dxa"/>
            <w:vAlign w:val="bottom"/>
            <w:vMerge w:val="restart"/>
          </w:tcPr>
          <w:p>
            <w:pPr>
              <w:ind w:left="2500"/>
              <w:spacing w:after="0"/>
              <w:rPr>
                <w:sz w:val="20"/>
                <w:szCs w:val="20"/>
                <w:color w:val="auto"/>
              </w:rPr>
            </w:pPr>
            <w:r>
              <w:rPr>
                <w:rFonts w:ascii="Times New Roman" w:cs="Times New Roman" w:eastAsia="Times New Roman" w:hAnsi="Times New Roman"/>
                <w:sz w:val="22"/>
                <w:szCs w:val="22"/>
                <w:color w:val="auto"/>
              </w:rPr>
              <w:t>plan</w:t>
            </w:r>
          </w:p>
        </w:tc>
        <w:tc>
          <w:tcPr>
            <w:tcW w:w="14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302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rPr>
              <w:t>to Issuer</w:t>
            </w:r>
          </w:p>
        </w:tc>
        <w:tc>
          <w:tcPr>
            <w:tcW w:w="0" w:type="dxa"/>
            <w:vAlign w:val="bottom"/>
          </w:tcPr>
          <w:p>
            <w:pPr>
              <w:spacing w:after="0"/>
              <w:rPr>
                <w:sz w:val="1"/>
                <w:szCs w:val="1"/>
                <w:color w:val="auto"/>
              </w:rPr>
            </w:pPr>
          </w:p>
        </w:tc>
      </w:tr>
      <w:tr>
        <w:trPr>
          <w:trHeight w:val="66"/>
        </w:trPr>
        <w:tc>
          <w:tcPr>
            <w:tcW w:w="406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2500" w:type="dxa"/>
            <w:vAlign w:val="bottom"/>
          </w:tcPr>
          <w:p>
            <w:pPr>
              <w:spacing w:after="0"/>
              <w:rPr>
                <w:sz w:val="5"/>
                <w:szCs w:val="5"/>
                <w:color w:val="auto"/>
              </w:rPr>
            </w:pPr>
          </w:p>
        </w:tc>
        <w:tc>
          <w:tcPr>
            <w:tcW w:w="30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This is a sell-to-cover transaction for taxes owed related to recent vesting of stock unit awards granted by the Issuer.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06/03/2026</w:t>
      </w:r>
    </w:p>
    <w:p>
      <w:pPr>
        <w:spacing w:after="0" w:line="601" w:lineRule="exact"/>
        <w:rPr>
          <w:sz w:val="20"/>
          <w:szCs w:val="20"/>
          <w:color w:val="auto"/>
        </w:rPr>
      </w:pPr>
    </w:p>
    <w:p>
      <w:pPr>
        <w:sectPr>
          <w:pgSz w:w="11900" w:h="16838" w:orient="portrait"/>
          <w:cols w:equalWidth="0" w:num="2">
            <w:col w:w="1340" w:space="20"/>
            <w:col w:w="9880"/>
          </w:cols>
          <w:pgMar w:left="320" w:top="98" w:right="339" w:bottom="1440" w:gutter="0" w:footer="0" w:header="0"/>
          <w:type w:val="continuous"/>
        </w:sectPr>
      </w:pPr>
    </w:p>
    <w:p>
      <w:pPr>
        <w:spacing w:after="0" w:line="1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Stephen Feider, Attorney-in-Fact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1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Stephen Feider, Kevin Meinert and Alison Kincade signing individually, the undersigned’s true and lawful attorneys-in fact and agents to:</w:t>
      </w:r>
    </w:p>
    <w:p>
      <w:pPr>
        <w:spacing w:after="0" w:line="158" w:lineRule="exact"/>
        <w:rPr>
          <w:sz w:val="20"/>
          <w:szCs w:val="20"/>
          <w:color w:val="auto"/>
        </w:rPr>
      </w:pPr>
    </w:p>
    <w:p>
      <w:pPr>
        <w:jc w:val="both"/>
        <w:ind w:left="660" w:firstLine="644"/>
        <w:spacing w:after="0" w:line="238" w:lineRule="auto"/>
        <w:tabs>
          <w:tab w:leader="none" w:pos="1621"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director or beneficial owner of more than 10% of a registered class of securities of Beta Bionics,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Forms 3, 4 and 5 (including any amendments thereto) in accordance with Section 16(a)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Form 144 and a Form ID, Uniform Application for Access Codes to File on EDGAR;</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163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execute such Forms 3, 4 or 5, Form 144, or Form ID (including any amendments thereto) and timely file such forms with the United States Securities and Exchange Commission and any stock exchange or similar authority; and</w:t>
      </w:r>
    </w:p>
    <w:p>
      <w:pPr>
        <w:spacing w:after="0" w:line="173" w:lineRule="exact"/>
        <w:rPr>
          <w:rFonts w:ascii="Times New Roman" w:cs="Times New Roman" w:eastAsia="Times New Roman" w:hAnsi="Times New Roman"/>
          <w:sz w:val="22"/>
          <w:szCs w:val="22"/>
          <w:color w:val="auto"/>
        </w:rPr>
      </w:pPr>
    </w:p>
    <w:p>
      <w:pPr>
        <w:jc w:val="both"/>
        <w:ind w:left="660" w:firstLine="644"/>
        <w:spacing w:after="0" w:line="238" w:lineRule="auto"/>
        <w:tabs>
          <w:tab w:leader="none" w:pos="1621"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7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earliest to occur of (a) the undersigned is no longer required to file Forms 3, 4 and 5 or Form 144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 as applicable.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b w:val="1"/>
          <w:bCs w:val="1"/>
          <w:color w:val="auto"/>
        </w:rPr>
        <w:t>IN WITNESS WHEREOF</w:t>
      </w:r>
      <w:r>
        <w:rPr>
          <w:rFonts w:ascii="Times New Roman" w:cs="Times New Roman" w:eastAsia="Times New Roman" w:hAnsi="Times New Roman"/>
          <w:sz w:val="21"/>
          <w:szCs w:val="21"/>
          <w:color w:val="auto"/>
        </w:rPr>
        <w:t>, the undersigned has caused this Power of Attorney to be executed as of January 7, 2025.</w:t>
      </w:r>
    </w:p>
    <w:p>
      <w:pPr>
        <w:spacing w:after="0" w:line="24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/s/ Steven Russell</w:t>
      </w:r>
    </w:p>
    <w:p>
      <w:pPr>
        <w:spacing w:after="0" w:line="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Steven Russell, M.D., Ph.D.</w:t>
      </w:r>
    </w:p>
    <w:sectPr>
      <w:pgSz w:w="11900" w:h="16838" w:orient="portrait"/>
      <w:cols w:equalWidth="0" w:num="1">
        <w:col w:w="11240"/>
      </w:cols>
      <w:pgMar w:left="320" w:top="8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2026-06-03T16:46:21Z</dcterms:created>
  <dcterms:modified xsi:type="dcterms:W3CDTF">2026-06-03T16:46:21Z</dcterms:modified>
</cp:coreProperties>
</file>